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8BF0F" w14:textId="77777777" w:rsidR="004B394C" w:rsidRPr="00A43C51" w:rsidRDefault="0050580D" w:rsidP="005A0D7C">
      <w:pPr>
        <w:pStyle w:val="Title"/>
        <w:keepLines/>
        <w:pageBreakBefore/>
        <w:pBdr>
          <w:bottom w:val="single" w:sz="8" w:space="2" w:color="1F497D" w:themeColor="text2"/>
        </w:pBdr>
        <w:suppressAutoHyphens/>
        <w:spacing w:beforeLines="60" w:before="144" w:afterLines="60" w:after="144"/>
        <w:rPr>
          <w:rFonts w:ascii="Segoe UI" w:hAnsi="Segoe UI" w:cs="Segoe UI"/>
          <w:color w:val="1F497D" w:themeColor="text2"/>
          <w:spacing w:val="5"/>
          <w:szCs w:val="22"/>
        </w:rPr>
      </w:pPr>
      <w:r w:rsidRPr="00A43C51">
        <w:rPr>
          <w:rFonts w:ascii="Segoe UI" w:hAnsi="Segoe UI" w:cs="Segoe UI"/>
          <w:color w:val="1F497D" w:themeColor="text2"/>
          <w:spacing w:val="5"/>
          <w:szCs w:val="22"/>
        </w:rPr>
        <w:t>Large Group</w:t>
      </w:r>
      <w:r w:rsidR="004B394C" w:rsidRPr="00A43C51">
        <w:rPr>
          <w:rFonts w:ascii="Segoe UI" w:hAnsi="Segoe UI" w:cs="Segoe UI"/>
          <w:color w:val="1F497D" w:themeColor="text2"/>
          <w:spacing w:val="5"/>
          <w:szCs w:val="22"/>
        </w:rPr>
        <w:t xml:space="preserve"> </w:t>
      </w:r>
      <w:r w:rsidR="004A2CB9" w:rsidRPr="00A43C51">
        <w:rPr>
          <w:rFonts w:ascii="Segoe UI" w:hAnsi="Segoe UI" w:cs="Segoe UI"/>
          <w:color w:val="1F497D" w:themeColor="text2"/>
          <w:spacing w:val="5"/>
          <w:szCs w:val="22"/>
        </w:rPr>
        <w:t>H</w:t>
      </w:r>
      <w:r w:rsidR="00886137">
        <w:rPr>
          <w:rFonts w:ascii="Segoe UI" w:hAnsi="Segoe UI" w:cs="Segoe UI"/>
          <w:color w:val="1F497D" w:themeColor="text2"/>
          <w:spacing w:val="5"/>
          <w:szCs w:val="22"/>
        </w:rPr>
        <w:t>ealth, Dental Only, and Vision O</w:t>
      </w:r>
      <w:r w:rsidR="004A2CB9" w:rsidRPr="00A43C51">
        <w:rPr>
          <w:rFonts w:ascii="Segoe UI" w:hAnsi="Segoe UI" w:cs="Segoe UI"/>
          <w:color w:val="1F497D" w:themeColor="text2"/>
          <w:spacing w:val="5"/>
          <w:szCs w:val="22"/>
        </w:rPr>
        <w:t xml:space="preserve">nly </w:t>
      </w:r>
      <w:r w:rsidR="004B394C" w:rsidRPr="00A43C51">
        <w:rPr>
          <w:rFonts w:ascii="Segoe UI" w:hAnsi="Segoe UI" w:cs="Segoe UI"/>
          <w:color w:val="1F497D" w:themeColor="text2"/>
          <w:spacing w:val="5"/>
          <w:szCs w:val="22"/>
        </w:rPr>
        <w:t xml:space="preserve">Rate </w:t>
      </w:r>
      <w:r w:rsidR="006448A8" w:rsidRPr="00A43C51">
        <w:rPr>
          <w:rFonts w:ascii="Segoe UI" w:hAnsi="Segoe UI" w:cs="Segoe UI"/>
          <w:color w:val="1F497D" w:themeColor="text2"/>
          <w:spacing w:val="5"/>
          <w:szCs w:val="22"/>
        </w:rPr>
        <w:t>Manual</w:t>
      </w:r>
      <w:r w:rsidR="004B394C" w:rsidRPr="00A43C51">
        <w:rPr>
          <w:rFonts w:ascii="Segoe UI" w:hAnsi="Segoe UI" w:cs="Segoe UI"/>
          <w:color w:val="1F497D" w:themeColor="text2"/>
          <w:spacing w:val="5"/>
          <w:szCs w:val="22"/>
        </w:rPr>
        <w:t xml:space="preserve"> </w:t>
      </w:r>
      <w:r w:rsidR="00E239CE" w:rsidRPr="00A43C51">
        <w:rPr>
          <w:rFonts w:ascii="Segoe UI" w:hAnsi="Segoe UI" w:cs="Segoe UI"/>
          <w:color w:val="1F497D" w:themeColor="text2"/>
          <w:spacing w:val="5"/>
          <w:szCs w:val="22"/>
        </w:rPr>
        <w:t>Guidance</w:t>
      </w:r>
    </w:p>
    <w:sdt>
      <w:sdtPr>
        <w:rPr>
          <w:rFonts w:ascii="Segoe UI" w:eastAsiaTheme="minorHAnsi" w:hAnsi="Segoe UI" w:cs="Segoe UI"/>
          <w:b w:val="0"/>
          <w:bCs w:val="0"/>
          <w:color w:val="auto"/>
          <w:sz w:val="22"/>
          <w:szCs w:val="22"/>
        </w:rPr>
        <w:id w:val="110934157"/>
        <w:docPartObj>
          <w:docPartGallery w:val="Table of Contents"/>
          <w:docPartUnique/>
        </w:docPartObj>
      </w:sdtPr>
      <w:sdtEndPr/>
      <w:sdtContent>
        <w:p w14:paraId="71E66CB3" w14:textId="77777777" w:rsidR="007850A0" w:rsidRPr="00A43C51" w:rsidRDefault="007850A0">
          <w:pPr>
            <w:pStyle w:val="TOCHeading"/>
            <w:rPr>
              <w:rStyle w:val="Heading1Char"/>
              <w:rFonts w:ascii="Segoe UI" w:hAnsi="Segoe UI" w:cs="Segoe UI"/>
            </w:rPr>
          </w:pPr>
          <w:r w:rsidRPr="00A43C51">
            <w:rPr>
              <w:rStyle w:val="Heading1Char"/>
              <w:rFonts w:ascii="Segoe UI" w:hAnsi="Segoe UI" w:cs="Segoe UI"/>
            </w:rPr>
            <w:t>Contents</w:t>
          </w:r>
        </w:p>
        <w:p w14:paraId="2FE50F75" w14:textId="163E5856" w:rsidR="005A0D7C" w:rsidRPr="00A43C51" w:rsidRDefault="00F073D3">
          <w:pPr>
            <w:pStyle w:val="TOC1"/>
            <w:tabs>
              <w:tab w:val="right" w:leader="dot" w:pos="9350"/>
            </w:tabs>
            <w:rPr>
              <w:rFonts w:ascii="Segoe UI" w:eastAsiaTheme="minorEastAsia" w:hAnsi="Segoe UI" w:cs="Segoe UI"/>
              <w:noProof/>
            </w:rPr>
          </w:pPr>
          <w:r w:rsidRPr="00A43C51">
            <w:rPr>
              <w:rFonts w:ascii="Segoe UI" w:hAnsi="Segoe UI" w:cs="Segoe UI"/>
            </w:rPr>
            <w:fldChar w:fldCharType="begin"/>
          </w:r>
          <w:r w:rsidR="007850A0" w:rsidRPr="00A43C51">
            <w:rPr>
              <w:rFonts w:ascii="Segoe UI" w:hAnsi="Segoe UI" w:cs="Segoe UI"/>
            </w:rPr>
            <w:instrText xml:space="preserve"> TOC \o "1-3" \h \z \u </w:instrText>
          </w:r>
          <w:r w:rsidRPr="00A43C51">
            <w:rPr>
              <w:rFonts w:ascii="Segoe UI" w:hAnsi="Segoe UI" w:cs="Segoe UI"/>
            </w:rPr>
            <w:fldChar w:fldCharType="separate"/>
          </w:r>
          <w:hyperlink w:anchor="_Toc3277327" w:history="1">
            <w:r w:rsidR="005A0D7C" w:rsidRPr="00A43C51">
              <w:rPr>
                <w:rStyle w:val="Hyperlink"/>
                <w:rFonts w:ascii="Segoe UI" w:hAnsi="Segoe UI" w:cs="Segoe UI"/>
                <w:noProof/>
              </w:rPr>
              <w:t>Purpose</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_Toc3277327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sidR="00272FC4">
              <w:rPr>
                <w:rFonts w:ascii="Segoe UI" w:hAnsi="Segoe UI" w:cs="Segoe UI"/>
                <w:noProof/>
                <w:webHidden/>
              </w:rPr>
              <w:t>2</w:t>
            </w:r>
            <w:r w:rsidR="005A0D7C" w:rsidRPr="00A43C51">
              <w:rPr>
                <w:rFonts w:ascii="Segoe UI" w:hAnsi="Segoe UI" w:cs="Segoe UI"/>
                <w:noProof/>
                <w:webHidden/>
              </w:rPr>
              <w:fldChar w:fldCharType="end"/>
            </w:r>
          </w:hyperlink>
        </w:p>
        <w:p w14:paraId="018EBBDF" w14:textId="7E8B057C" w:rsidR="005A0D7C" w:rsidRPr="00A43C51" w:rsidRDefault="001E04E4">
          <w:pPr>
            <w:pStyle w:val="TOC1"/>
            <w:tabs>
              <w:tab w:val="right" w:leader="dot" w:pos="9350"/>
            </w:tabs>
            <w:rPr>
              <w:rFonts w:ascii="Segoe UI" w:eastAsiaTheme="minorEastAsia" w:hAnsi="Segoe UI" w:cs="Segoe UI"/>
              <w:noProof/>
            </w:rPr>
          </w:pPr>
          <w:hyperlink w:anchor="_Toc3277328" w:history="1">
            <w:r w:rsidR="005A0D7C" w:rsidRPr="00A43C51">
              <w:rPr>
                <w:rStyle w:val="Hyperlink"/>
                <w:rFonts w:ascii="Segoe UI" w:hAnsi="Segoe UI" w:cs="Segoe UI"/>
                <w:noProof/>
              </w:rPr>
              <w:t>Guidance</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_Toc3277328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sidR="00272FC4">
              <w:rPr>
                <w:rFonts w:ascii="Segoe UI" w:hAnsi="Segoe UI" w:cs="Segoe UI"/>
                <w:noProof/>
                <w:webHidden/>
              </w:rPr>
              <w:t>2</w:t>
            </w:r>
            <w:r w:rsidR="005A0D7C" w:rsidRPr="00A43C51">
              <w:rPr>
                <w:rFonts w:ascii="Segoe UI" w:hAnsi="Segoe UI" w:cs="Segoe UI"/>
                <w:noProof/>
                <w:webHidden/>
              </w:rPr>
              <w:fldChar w:fldCharType="end"/>
            </w:r>
          </w:hyperlink>
        </w:p>
        <w:p w14:paraId="5BCA0E9C" w14:textId="72A40E11" w:rsidR="005A0D7C" w:rsidRPr="00A43C51" w:rsidRDefault="001E04E4" w:rsidP="002C3BAF">
          <w:pPr>
            <w:pStyle w:val="TOC2"/>
            <w:rPr>
              <w:rFonts w:ascii="Segoe UI" w:eastAsiaTheme="minorEastAsia" w:hAnsi="Segoe UI" w:cs="Segoe UI"/>
              <w:noProof/>
            </w:rPr>
          </w:pPr>
          <w:hyperlink w:anchor="_Toc3277329" w:history="1">
            <w:r w:rsidR="005A0D7C" w:rsidRPr="00A43C51">
              <w:rPr>
                <w:rStyle w:val="Hyperlink"/>
                <w:rFonts w:ascii="Segoe UI" w:hAnsi="Segoe UI" w:cs="Segoe UI"/>
                <w:noProof/>
              </w:rPr>
              <w:t>I.</w:t>
            </w:r>
            <w:r w:rsidR="005A0D7C" w:rsidRPr="00A43C51">
              <w:rPr>
                <w:rFonts w:ascii="Segoe UI" w:eastAsiaTheme="minorEastAsia" w:hAnsi="Segoe UI" w:cs="Segoe UI"/>
                <w:noProof/>
              </w:rPr>
              <w:tab/>
            </w:r>
            <w:r w:rsidR="005A0D7C" w:rsidRPr="00A43C51">
              <w:rPr>
                <w:rStyle w:val="Hyperlink"/>
                <w:rFonts w:ascii="Segoe UI" w:hAnsi="Segoe UI" w:cs="Segoe UI"/>
                <w:noProof/>
              </w:rPr>
              <w:t>Rate Calculations</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_Toc3277329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sidR="00272FC4">
              <w:rPr>
                <w:rFonts w:ascii="Segoe UI" w:hAnsi="Segoe UI" w:cs="Segoe UI"/>
                <w:noProof/>
                <w:webHidden/>
              </w:rPr>
              <w:t>2</w:t>
            </w:r>
            <w:r w:rsidR="005A0D7C" w:rsidRPr="00A43C51">
              <w:rPr>
                <w:rFonts w:ascii="Segoe UI" w:hAnsi="Segoe UI" w:cs="Segoe UI"/>
                <w:noProof/>
                <w:webHidden/>
              </w:rPr>
              <w:fldChar w:fldCharType="end"/>
            </w:r>
          </w:hyperlink>
        </w:p>
        <w:p w14:paraId="719F6424" w14:textId="25AEF70E" w:rsidR="005A0D7C" w:rsidRPr="00A43C51" w:rsidRDefault="001E04E4" w:rsidP="002C3BAF">
          <w:pPr>
            <w:pStyle w:val="TOC2"/>
            <w:rPr>
              <w:rFonts w:ascii="Segoe UI" w:eastAsiaTheme="minorEastAsia" w:hAnsi="Segoe UI" w:cs="Segoe UI"/>
              <w:noProof/>
            </w:rPr>
          </w:pPr>
          <w:hyperlink w:anchor="_Toc3277330" w:history="1">
            <w:r w:rsidR="005A0D7C" w:rsidRPr="00A43C51">
              <w:rPr>
                <w:rStyle w:val="Hyperlink"/>
                <w:rFonts w:ascii="Segoe UI" w:hAnsi="Segoe UI" w:cs="Segoe UI"/>
                <w:noProof/>
              </w:rPr>
              <w:t>II.</w:t>
            </w:r>
            <w:r w:rsidR="005A0D7C" w:rsidRPr="00A43C51">
              <w:rPr>
                <w:rFonts w:ascii="Segoe UI" w:eastAsiaTheme="minorEastAsia" w:hAnsi="Segoe UI" w:cs="Segoe UI"/>
                <w:noProof/>
              </w:rPr>
              <w:tab/>
            </w:r>
            <w:r w:rsidR="005A0D7C" w:rsidRPr="00A43C51">
              <w:rPr>
                <w:rStyle w:val="Hyperlink"/>
                <w:rFonts w:ascii="Segoe UI" w:hAnsi="Segoe UI" w:cs="Segoe UI"/>
                <w:noProof/>
              </w:rPr>
              <w:t>Experience</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_Toc3277330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sidR="00272FC4">
              <w:rPr>
                <w:rFonts w:ascii="Segoe UI" w:hAnsi="Segoe UI" w:cs="Segoe UI"/>
                <w:noProof/>
                <w:webHidden/>
              </w:rPr>
              <w:t>2</w:t>
            </w:r>
            <w:r w:rsidR="005A0D7C" w:rsidRPr="00A43C51">
              <w:rPr>
                <w:rFonts w:ascii="Segoe UI" w:hAnsi="Segoe UI" w:cs="Segoe UI"/>
                <w:noProof/>
                <w:webHidden/>
              </w:rPr>
              <w:fldChar w:fldCharType="end"/>
            </w:r>
          </w:hyperlink>
        </w:p>
        <w:p w14:paraId="0AD1ACD9" w14:textId="5BFF5082" w:rsidR="005A0D7C" w:rsidRPr="00A43C51" w:rsidRDefault="001E04E4" w:rsidP="002C3BAF">
          <w:pPr>
            <w:pStyle w:val="TOC2"/>
            <w:rPr>
              <w:rFonts w:ascii="Segoe UI" w:eastAsiaTheme="minorEastAsia" w:hAnsi="Segoe UI" w:cs="Segoe UI"/>
              <w:noProof/>
            </w:rPr>
          </w:pPr>
          <w:hyperlink w:anchor="_Toc3277331" w:history="1">
            <w:r w:rsidR="005A0D7C" w:rsidRPr="00A43C51">
              <w:rPr>
                <w:rStyle w:val="Hyperlink"/>
                <w:rFonts w:ascii="Segoe UI" w:hAnsi="Segoe UI" w:cs="Segoe UI"/>
                <w:noProof/>
              </w:rPr>
              <w:t>III.</w:t>
            </w:r>
            <w:r w:rsidR="002C3BAF" w:rsidRPr="00A43C51">
              <w:rPr>
                <w:rFonts w:ascii="Segoe UI" w:eastAsiaTheme="minorEastAsia" w:hAnsi="Segoe UI" w:cs="Segoe UI"/>
                <w:noProof/>
              </w:rPr>
              <w:tab/>
            </w:r>
            <w:r w:rsidR="005A0D7C" w:rsidRPr="00A43C51">
              <w:rPr>
                <w:rStyle w:val="Hyperlink"/>
                <w:rFonts w:ascii="Segoe UI" w:hAnsi="Segoe UI" w:cs="Segoe UI"/>
                <w:noProof/>
              </w:rPr>
              <w:t>Underwriting</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_Toc3277331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sidR="00272FC4">
              <w:rPr>
                <w:rFonts w:ascii="Segoe UI" w:hAnsi="Segoe UI" w:cs="Segoe UI"/>
                <w:noProof/>
                <w:webHidden/>
              </w:rPr>
              <w:t>3</w:t>
            </w:r>
            <w:r w:rsidR="005A0D7C" w:rsidRPr="00A43C51">
              <w:rPr>
                <w:rFonts w:ascii="Segoe UI" w:hAnsi="Segoe UI" w:cs="Segoe UI"/>
                <w:noProof/>
                <w:webHidden/>
              </w:rPr>
              <w:fldChar w:fldCharType="end"/>
            </w:r>
          </w:hyperlink>
        </w:p>
        <w:p w14:paraId="28E0A65F" w14:textId="34BCD95C" w:rsidR="005A0D7C" w:rsidRPr="00A43C51" w:rsidRDefault="001E04E4" w:rsidP="002C3BAF">
          <w:pPr>
            <w:pStyle w:val="TOC2"/>
            <w:rPr>
              <w:rFonts w:ascii="Segoe UI" w:eastAsiaTheme="minorEastAsia" w:hAnsi="Segoe UI" w:cs="Segoe UI"/>
              <w:noProof/>
            </w:rPr>
          </w:pPr>
          <w:hyperlink w:anchor="_Toc3277332" w:history="1">
            <w:r w:rsidR="005A0D7C" w:rsidRPr="00A43C51">
              <w:rPr>
                <w:rStyle w:val="Hyperlink"/>
                <w:rFonts w:ascii="Segoe UI" w:hAnsi="Segoe UI" w:cs="Segoe UI"/>
                <w:noProof/>
              </w:rPr>
              <w:t>IV.</w:t>
            </w:r>
            <w:r w:rsidR="005A0D7C" w:rsidRPr="00A43C51">
              <w:rPr>
                <w:rFonts w:ascii="Segoe UI" w:eastAsiaTheme="minorEastAsia" w:hAnsi="Segoe UI" w:cs="Segoe UI"/>
                <w:noProof/>
              </w:rPr>
              <w:tab/>
            </w:r>
            <w:r w:rsidR="005A0D7C" w:rsidRPr="00A43C51">
              <w:rPr>
                <w:rStyle w:val="Hyperlink"/>
                <w:rFonts w:ascii="Segoe UI" w:hAnsi="Segoe UI" w:cs="Segoe UI"/>
                <w:noProof/>
              </w:rPr>
              <w:t>Commissions</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_Toc3277332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sidR="00272FC4">
              <w:rPr>
                <w:rFonts w:ascii="Segoe UI" w:hAnsi="Segoe UI" w:cs="Segoe UI"/>
                <w:noProof/>
                <w:webHidden/>
              </w:rPr>
              <w:t>3</w:t>
            </w:r>
            <w:r w:rsidR="005A0D7C" w:rsidRPr="00A43C51">
              <w:rPr>
                <w:rFonts w:ascii="Segoe UI" w:hAnsi="Segoe UI" w:cs="Segoe UI"/>
                <w:noProof/>
                <w:webHidden/>
              </w:rPr>
              <w:fldChar w:fldCharType="end"/>
            </w:r>
          </w:hyperlink>
        </w:p>
        <w:p w14:paraId="4D5B646D" w14:textId="46A801E3" w:rsidR="005A0D7C" w:rsidRPr="00A43C51" w:rsidRDefault="001E04E4" w:rsidP="002C3BAF">
          <w:pPr>
            <w:pStyle w:val="TOC2"/>
            <w:rPr>
              <w:rFonts w:ascii="Segoe UI" w:eastAsiaTheme="minorEastAsia" w:hAnsi="Segoe UI" w:cs="Segoe UI"/>
              <w:noProof/>
            </w:rPr>
          </w:pPr>
          <w:hyperlink w:anchor="_Toc3277333" w:history="1">
            <w:r w:rsidR="005A0D7C" w:rsidRPr="00A43C51">
              <w:rPr>
                <w:rStyle w:val="Hyperlink"/>
                <w:rFonts w:ascii="Segoe UI" w:hAnsi="Segoe UI" w:cs="Segoe UI"/>
                <w:noProof/>
              </w:rPr>
              <w:t>V.</w:t>
            </w:r>
            <w:r w:rsidR="005A0D7C" w:rsidRPr="00A43C51">
              <w:rPr>
                <w:rFonts w:ascii="Segoe UI" w:eastAsiaTheme="minorEastAsia" w:hAnsi="Segoe UI" w:cs="Segoe UI"/>
                <w:noProof/>
              </w:rPr>
              <w:tab/>
            </w:r>
            <w:r w:rsidR="005A0D7C" w:rsidRPr="00A43C51">
              <w:rPr>
                <w:rStyle w:val="Hyperlink"/>
                <w:rFonts w:ascii="Segoe UI" w:hAnsi="Segoe UI" w:cs="Segoe UI"/>
                <w:noProof/>
              </w:rPr>
              <w:t>Variables</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_Toc3277333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sidR="00272FC4">
              <w:rPr>
                <w:rFonts w:ascii="Segoe UI" w:hAnsi="Segoe UI" w:cs="Segoe UI"/>
                <w:noProof/>
                <w:webHidden/>
              </w:rPr>
              <w:t>3</w:t>
            </w:r>
            <w:r w:rsidR="005A0D7C" w:rsidRPr="00A43C51">
              <w:rPr>
                <w:rFonts w:ascii="Segoe UI" w:hAnsi="Segoe UI" w:cs="Segoe UI"/>
                <w:noProof/>
                <w:webHidden/>
              </w:rPr>
              <w:fldChar w:fldCharType="end"/>
            </w:r>
          </w:hyperlink>
        </w:p>
        <w:p w14:paraId="4628823D" w14:textId="24CE6AC3" w:rsidR="005A0D7C" w:rsidRPr="00A43C51" w:rsidRDefault="001E04E4" w:rsidP="002C3BAF">
          <w:pPr>
            <w:pStyle w:val="TOC2"/>
            <w:rPr>
              <w:rFonts w:ascii="Segoe UI" w:eastAsiaTheme="minorEastAsia" w:hAnsi="Segoe UI" w:cs="Segoe UI"/>
              <w:noProof/>
            </w:rPr>
          </w:pPr>
          <w:hyperlink w:anchor="_Toc3277334" w:history="1">
            <w:r w:rsidR="005A0D7C" w:rsidRPr="00A43C51">
              <w:rPr>
                <w:rStyle w:val="Hyperlink"/>
                <w:rFonts w:ascii="Segoe UI" w:hAnsi="Segoe UI" w:cs="Segoe UI"/>
                <w:noProof/>
              </w:rPr>
              <w:t>VI.</w:t>
            </w:r>
            <w:r w:rsidR="005A0D7C" w:rsidRPr="00A43C51">
              <w:rPr>
                <w:rFonts w:ascii="Segoe UI" w:eastAsiaTheme="minorEastAsia" w:hAnsi="Segoe UI" w:cs="Segoe UI"/>
                <w:noProof/>
              </w:rPr>
              <w:tab/>
            </w:r>
            <w:r w:rsidR="005A0D7C" w:rsidRPr="00A43C51">
              <w:rPr>
                <w:rStyle w:val="Hyperlink"/>
                <w:rFonts w:ascii="Segoe UI" w:hAnsi="Segoe UI" w:cs="Segoe UI"/>
                <w:noProof/>
              </w:rPr>
              <w:t>Definitions</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_Toc3277334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sidR="00272FC4">
              <w:rPr>
                <w:rFonts w:ascii="Segoe UI" w:hAnsi="Segoe UI" w:cs="Segoe UI"/>
                <w:noProof/>
                <w:webHidden/>
              </w:rPr>
              <w:t>3</w:t>
            </w:r>
            <w:r w:rsidR="005A0D7C" w:rsidRPr="00A43C51">
              <w:rPr>
                <w:rFonts w:ascii="Segoe UI" w:hAnsi="Segoe UI" w:cs="Segoe UI"/>
                <w:noProof/>
                <w:webHidden/>
              </w:rPr>
              <w:fldChar w:fldCharType="end"/>
            </w:r>
          </w:hyperlink>
        </w:p>
        <w:p w14:paraId="1B19336E" w14:textId="6965507D" w:rsidR="005A0D7C" w:rsidRPr="00A43C51" w:rsidRDefault="001E04E4" w:rsidP="002C3BAF">
          <w:pPr>
            <w:pStyle w:val="TOC2"/>
            <w:rPr>
              <w:rFonts w:ascii="Segoe UI" w:eastAsiaTheme="minorEastAsia" w:hAnsi="Segoe UI" w:cs="Segoe UI"/>
              <w:noProof/>
            </w:rPr>
          </w:pPr>
          <w:hyperlink w:anchor="_Toc3277335" w:history="1">
            <w:r w:rsidR="005A0D7C" w:rsidRPr="00A43C51">
              <w:rPr>
                <w:rStyle w:val="Hyperlink"/>
                <w:rFonts w:ascii="Segoe UI" w:hAnsi="Segoe UI" w:cs="Segoe UI"/>
                <w:noProof/>
              </w:rPr>
              <w:t>VII.</w:t>
            </w:r>
            <w:r w:rsidR="005A0D7C" w:rsidRPr="00A43C51">
              <w:rPr>
                <w:rFonts w:ascii="Segoe UI" w:eastAsiaTheme="minorEastAsia" w:hAnsi="Segoe UI" w:cs="Segoe UI"/>
                <w:noProof/>
              </w:rPr>
              <w:tab/>
            </w:r>
            <w:r w:rsidR="005A0D7C" w:rsidRPr="00A43C51">
              <w:rPr>
                <w:rStyle w:val="Hyperlink"/>
                <w:rFonts w:ascii="Segoe UI" w:hAnsi="Segoe UI" w:cs="Segoe UI"/>
                <w:noProof/>
              </w:rPr>
              <w:t>Structure</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_Toc3277335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sidR="00272FC4">
              <w:rPr>
                <w:rFonts w:ascii="Segoe UI" w:hAnsi="Segoe UI" w:cs="Segoe UI"/>
                <w:noProof/>
                <w:webHidden/>
              </w:rPr>
              <w:t>3</w:t>
            </w:r>
            <w:r w:rsidR="005A0D7C" w:rsidRPr="00A43C51">
              <w:rPr>
                <w:rFonts w:ascii="Segoe UI" w:hAnsi="Segoe UI" w:cs="Segoe UI"/>
                <w:noProof/>
                <w:webHidden/>
              </w:rPr>
              <w:fldChar w:fldCharType="end"/>
            </w:r>
          </w:hyperlink>
        </w:p>
        <w:p w14:paraId="30D6D190" w14:textId="425842A5" w:rsidR="005A0D7C" w:rsidRPr="00A43C51" w:rsidRDefault="001E04E4" w:rsidP="002C3BAF">
          <w:pPr>
            <w:pStyle w:val="TOC2"/>
            <w:rPr>
              <w:rFonts w:ascii="Segoe UI" w:eastAsiaTheme="minorEastAsia" w:hAnsi="Segoe UI" w:cs="Segoe UI"/>
              <w:noProof/>
            </w:rPr>
          </w:pPr>
          <w:hyperlink w:anchor="_Toc3277336" w:history="1">
            <w:r w:rsidR="005A0D7C" w:rsidRPr="00A43C51">
              <w:rPr>
                <w:rStyle w:val="Hyperlink"/>
                <w:rFonts w:ascii="Segoe UI" w:hAnsi="Segoe UI" w:cs="Segoe UI"/>
                <w:noProof/>
              </w:rPr>
              <w:t>VIII.</w:t>
            </w:r>
            <w:r w:rsidR="005A0D7C" w:rsidRPr="00A43C51">
              <w:rPr>
                <w:rFonts w:ascii="Segoe UI" w:eastAsiaTheme="minorEastAsia" w:hAnsi="Segoe UI" w:cs="Segoe UI"/>
                <w:noProof/>
              </w:rPr>
              <w:tab/>
            </w:r>
            <w:r w:rsidR="005A0D7C" w:rsidRPr="00A43C51">
              <w:rPr>
                <w:rStyle w:val="Hyperlink"/>
                <w:rFonts w:ascii="Segoe UI" w:hAnsi="Segoe UI" w:cs="Segoe UI"/>
                <w:noProof/>
              </w:rPr>
              <w:t>Sample Rate Calculation</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_Toc3277336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sidR="00272FC4">
              <w:rPr>
                <w:rFonts w:ascii="Segoe UI" w:hAnsi="Segoe UI" w:cs="Segoe UI"/>
                <w:noProof/>
                <w:webHidden/>
              </w:rPr>
              <w:t>4</w:t>
            </w:r>
            <w:r w:rsidR="005A0D7C" w:rsidRPr="00A43C51">
              <w:rPr>
                <w:rFonts w:ascii="Segoe UI" w:hAnsi="Segoe UI" w:cs="Segoe UI"/>
                <w:noProof/>
                <w:webHidden/>
              </w:rPr>
              <w:fldChar w:fldCharType="end"/>
            </w:r>
          </w:hyperlink>
        </w:p>
        <w:p w14:paraId="3C32498B" w14:textId="42DEB040" w:rsidR="005A0D7C" w:rsidRPr="00A43C51" w:rsidRDefault="001E04E4" w:rsidP="002C3BAF">
          <w:pPr>
            <w:pStyle w:val="TOC2"/>
            <w:rPr>
              <w:rFonts w:ascii="Segoe UI" w:eastAsiaTheme="minorEastAsia" w:hAnsi="Segoe UI" w:cs="Segoe UI"/>
              <w:noProof/>
            </w:rPr>
          </w:pPr>
          <w:hyperlink w:anchor="_Toc3277337" w:history="1">
            <w:r w:rsidR="005A0D7C" w:rsidRPr="00A43C51">
              <w:rPr>
                <w:rStyle w:val="Hyperlink"/>
                <w:rFonts w:ascii="Segoe UI" w:hAnsi="Segoe UI" w:cs="Segoe UI"/>
                <w:noProof/>
              </w:rPr>
              <w:t>IX.</w:t>
            </w:r>
            <w:r w:rsidR="005A0D7C" w:rsidRPr="00A43C51">
              <w:rPr>
                <w:rFonts w:ascii="Segoe UI" w:eastAsiaTheme="minorEastAsia" w:hAnsi="Segoe UI" w:cs="Segoe UI"/>
                <w:noProof/>
              </w:rPr>
              <w:tab/>
            </w:r>
            <w:r w:rsidR="005A0D7C" w:rsidRPr="00A43C51">
              <w:rPr>
                <w:rStyle w:val="Hyperlink"/>
                <w:rFonts w:ascii="Segoe UI" w:hAnsi="Segoe UI" w:cs="Segoe UI"/>
                <w:noProof/>
              </w:rPr>
              <w:t>Common Causes of Objections</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_Toc3277337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sidR="00272FC4">
              <w:rPr>
                <w:rFonts w:ascii="Segoe UI" w:hAnsi="Segoe UI" w:cs="Segoe UI"/>
                <w:noProof/>
                <w:webHidden/>
              </w:rPr>
              <w:t>4</w:t>
            </w:r>
            <w:r w:rsidR="005A0D7C" w:rsidRPr="00A43C51">
              <w:rPr>
                <w:rFonts w:ascii="Segoe UI" w:hAnsi="Segoe UI" w:cs="Segoe UI"/>
                <w:noProof/>
                <w:webHidden/>
              </w:rPr>
              <w:fldChar w:fldCharType="end"/>
            </w:r>
          </w:hyperlink>
        </w:p>
        <w:p w14:paraId="703C373B" w14:textId="733EC330" w:rsidR="005A0D7C" w:rsidRPr="00A43C51" w:rsidRDefault="001E04E4" w:rsidP="002C3BAF">
          <w:pPr>
            <w:pStyle w:val="TOC2"/>
            <w:rPr>
              <w:rFonts w:ascii="Segoe UI" w:eastAsiaTheme="minorEastAsia" w:hAnsi="Segoe UI" w:cs="Segoe UI"/>
              <w:noProof/>
            </w:rPr>
          </w:pPr>
          <w:hyperlink w:anchor="_Toc3277338" w:history="1">
            <w:r w:rsidR="005A0D7C" w:rsidRPr="00A43C51">
              <w:rPr>
                <w:rStyle w:val="Hyperlink"/>
                <w:rFonts w:ascii="Segoe UI" w:hAnsi="Segoe UI" w:cs="Segoe UI"/>
                <w:noProof/>
              </w:rPr>
              <w:t>X.</w:t>
            </w:r>
            <w:r w:rsidR="005A0D7C" w:rsidRPr="00A43C51">
              <w:rPr>
                <w:rFonts w:ascii="Segoe UI" w:eastAsiaTheme="minorEastAsia" w:hAnsi="Segoe UI" w:cs="Segoe UI"/>
                <w:noProof/>
              </w:rPr>
              <w:tab/>
            </w:r>
            <w:r w:rsidR="005A0D7C" w:rsidRPr="00A43C51">
              <w:rPr>
                <w:rStyle w:val="Hyperlink"/>
                <w:rFonts w:ascii="Segoe UI" w:hAnsi="Segoe UI" w:cs="Segoe UI"/>
                <w:noProof/>
              </w:rPr>
              <w:t>Updating/ Amending Existing Filings</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_Toc3277338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sidR="00272FC4">
              <w:rPr>
                <w:rFonts w:ascii="Segoe UI" w:hAnsi="Segoe UI" w:cs="Segoe UI"/>
                <w:noProof/>
                <w:webHidden/>
              </w:rPr>
              <w:t>4</w:t>
            </w:r>
            <w:r w:rsidR="005A0D7C" w:rsidRPr="00A43C51">
              <w:rPr>
                <w:rFonts w:ascii="Segoe UI" w:hAnsi="Segoe UI" w:cs="Segoe UI"/>
                <w:noProof/>
                <w:webHidden/>
              </w:rPr>
              <w:fldChar w:fldCharType="end"/>
            </w:r>
          </w:hyperlink>
        </w:p>
        <w:p w14:paraId="511FB530" w14:textId="419E3AE6" w:rsidR="005A0D7C" w:rsidRPr="00A43C51" w:rsidRDefault="001E04E4" w:rsidP="002C3BAF">
          <w:pPr>
            <w:pStyle w:val="TOC2"/>
            <w:rPr>
              <w:rFonts w:ascii="Segoe UI" w:eastAsiaTheme="minorEastAsia" w:hAnsi="Segoe UI" w:cs="Segoe UI"/>
              <w:noProof/>
            </w:rPr>
          </w:pPr>
          <w:hyperlink w:anchor="_Toc3277339" w:history="1">
            <w:r w:rsidR="005A0D7C" w:rsidRPr="00A43C51">
              <w:rPr>
                <w:rStyle w:val="Hyperlink"/>
                <w:rFonts w:ascii="Segoe UI" w:hAnsi="Segoe UI" w:cs="Segoe UI"/>
                <w:noProof/>
              </w:rPr>
              <w:t>XI.</w:t>
            </w:r>
            <w:r w:rsidR="005A0D7C" w:rsidRPr="00A43C51">
              <w:rPr>
                <w:rFonts w:ascii="Segoe UI" w:eastAsiaTheme="minorEastAsia" w:hAnsi="Segoe UI" w:cs="Segoe UI"/>
                <w:noProof/>
              </w:rPr>
              <w:tab/>
            </w:r>
            <w:r w:rsidR="005A0D7C" w:rsidRPr="00A43C51">
              <w:rPr>
                <w:rStyle w:val="Hyperlink"/>
                <w:rFonts w:ascii="Segoe UI" w:hAnsi="Segoe UI" w:cs="Segoe UI"/>
                <w:noProof/>
              </w:rPr>
              <w:t>Excel Files</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_Toc3277339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sidR="00272FC4">
              <w:rPr>
                <w:rFonts w:ascii="Segoe UI" w:hAnsi="Segoe UI" w:cs="Segoe UI"/>
                <w:noProof/>
                <w:webHidden/>
              </w:rPr>
              <w:t>4</w:t>
            </w:r>
            <w:r w:rsidR="005A0D7C" w:rsidRPr="00A43C51">
              <w:rPr>
                <w:rFonts w:ascii="Segoe UI" w:hAnsi="Segoe UI" w:cs="Segoe UI"/>
                <w:noProof/>
                <w:webHidden/>
              </w:rPr>
              <w:fldChar w:fldCharType="end"/>
            </w:r>
          </w:hyperlink>
        </w:p>
        <w:p w14:paraId="4876DBDD" w14:textId="5C4FD897" w:rsidR="005A0D7C" w:rsidRPr="00A43C51" w:rsidRDefault="001E04E4" w:rsidP="002C3BAF">
          <w:pPr>
            <w:pStyle w:val="TOC2"/>
            <w:rPr>
              <w:rFonts w:ascii="Segoe UI" w:eastAsiaTheme="minorEastAsia" w:hAnsi="Segoe UI" w:cs="Segoe UI"/>
              <w:noProof/>
            </w:rPr>
          </w:pPr>
          <w:hyperlink w:anchor="_Toc3277340" w:history="1">
            <w:r w:rsidR="005A0D7C" w:rsidRPr="00A43C51">
              <w:rPr>
                <w:rStyle w:val="Hyperlink"/>
                <w:rFonts w:ascii="Segoe UI" w:hAnsi="Segoe UI" w:cs="Segoe UI"/>
                <w:noProof/>
              </w:rPr>
              <w:t>XII.</w:t>
            </w:r>
            <w:r w:rsidR="005A0D7C" w:rsidRPr="00A43C51">
              <w:rPr>
                <w:rFonts w:ascii="Segoe UI" w:eastAsiaTheme="minorEastAsia" w:hAnsi="Segoe UI" w:cs="Segoe UI"/>
                <w:noProof/>
              </w:rPr>
              <w:tab/>
            </w:r>
            <w:r w:rsidR="005A0D7C" w:rsidRPr="00A43C51">
              <w:rPr>
                <w:rStyle w:val="Hyperlink"/>
                <w:rFonts w:ascii="Segoe UI" w:hAnsi="Segoe UI" w:cs="Segoe UI"/>
                <w:noProof/>
              </w:rPr>
              <w:t>Documents and Information</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_Toc3277340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sidR="00272FC4">
              <w:rPr>
                <w:rFonts w:ascii="Segoe UI" w:hAnsi="Segoe UI" w:cs="Segoe UI"/>
                <w:noProof/>
                <w:webHidden/>
              </w:rPr>
              <w:t>5</w:t>
            </w:r>
            <w:r w:rsidR="005A0D7C" w:rsidRPr="00A43C51">
              <w:rPr>
                <w:rFonts w:ascii="Segoe UI" w:hAnsi="Segoe UI" w:cs="Segoe UI"/>
                <w:noProof/>
                <w:webHidden/>
              </w:rPr>
              <w:fldChar w:fldCharType="end"/>
            </w:r>
          </w:hyperlink>
        </w:p>
        <w:p w14:paraId="12DD7691" w14:textId="77777777" w:rsidR="007850A0" w:rsidRPr="00A43C51" w:rsidRDefault="00F073D3">
          <w:pPr>
            <w:rPr>
              <w:rFonts w:ascii="Segoe UI" w:hAnsi="Segoe UI" w:cs="Segoe UI"/>
            </w:rPr>
          </w:pPr>
          <w:r w:rsidRPr="00A43C51">
            <w:rPr>
              <w:rFonts w:ascii="Segoe UI" w:hAnsi="Segoe UI" w:cs="Segoe UI"/>
            </w:rPr>
            <w:fldChar w:fldCharType="end"/>
          </w:r>
        </w:p>
      </w:sdtContent>
    </w:sdt>
    <w:p w14:paraId="551A64E0" w14:textId="77777777" w:rsidR="004B394C" w:rsidRPr="00A43C51" w:rsidRDefault="004B394C">
      <w:pPr>
        <w:rPr>
          <w:rFonts w:ascii="Segoe UI" w:hAnsi="Segoe UI" w:cs="Segoe UI"/>
          <w:b/>
        </w:rPr>
      </w:pPr>
      <w:r w:rsidRPr="00A43C51">
        <w:rPr>
          <w:rFonts w:ascii="Segoe UI" w:hAnsi="Segoe UI" w:cs="Segoe UI"/>
          <w:b/>
        </w:rPr>
        <w:br w:type="page"/>
      </w:r>
    </w:p>
    <w:p w14:paraId="709CDB29" w14:textId="77777777" w:rsidR="00B66DB5" w:rsidRPr="00A43C51" w:rsidRDefault="008259F2" w:rsidP="005A0D7C">
      <w:pPr>
        <w:pStyle w:val="TOCHeading"/>
        <w:rPr>
          <w:rFonts w:ascii="Segoe UI" w:hAnsi="Segoe UI" w:cs="Segoe UI"/>
        </w:rPr>
      </w:pPr>
      <w:bookmarkStart w:id="0" w:name="_Toc3277327"/>
      <w:r w:rsidRPr="00A43C51">
        <w:rPr>
          <w:rStyle w:val="Heading1Char"/>
          <w:rFonts w:ascii="Segoe UI" w:hAnsi="Segoe UI" w:cs="Segoe UI"/>
        </w:rPr>
        <w:lastRenderedPageBreak/>
        <w:t>P</w:t>
      </w:r>
      <w:r w:rsidR="005A0D7C" w:rsidRPr="00A43C51">
        <w:rPr>
          <w:rStyle w:val="Heading1Char"/>
          <w:rFonts w:ascii="Segoe UI" w:hAnsi="Segoe UI" w:cs="Segoe UI"/>
        </w:rPr>
        <w:t>urpose</w:t>
      </w:r>
      <w:bookmarkEnd w:id="0"/>
    </w:p>
    <w:p w14:paraId="4C90A26A" w14:textId="2F82A755" w:rsidR="00325362" w:rsidRDefault="00DD21AA" w:rsidP="007850A0">
      <w:pPr>
        <w:rPr>
          <w:rFonts w:ascii="Segoe UI" w:hAnsi="Segoe UI" w:cs="Segoe UI"/>
        </w:rPr>
      </w:pPr>
      <w:r w:rsidRPr="00A43C51">
        <w:rPr>
          <w:rFonts w:ascii="Segoe UI" w:hAnsi="Segoe UI" w:cs="Segoe UI"/>
        </w:rPr>
        <w:t>T</w:t>
      </w:r>
      <w:r w:rsidR="00234FB3" w:rsidRPr="00A43C51">
        <w:rPr>
          <w:rFonts w:ascii="Segoe UI" w:hAnsi="Segoe UI" w:cs="Segoe UI"/>
        </w:rPr>
        <w:t>his document provide</w:t>
      </w:r>
      <w:r w:rsidRPr="00A43C51">
        <w:rPr>
          <w:rFonts w:ascii="Segoe UI" w:hAnsi="Segoe UI" w:cs="Segoe UI"/>
        </w:rPr>
        <w:t>s</w:t>
      </w:r>
      <w:r w:rsidR="00234FB3" w:rsidRPr="00A43C51">
        <w:rPr>
          <w:rFonts w:ascii="Segoe UI" w:hAnsi="Segoe UI" w:cs="Segoe UI"/>
        </w:rPr>
        <w:t xml:space="preserve"> </w:t>
      </w:r>
      <w:r w:rsidR="00386288" w:rsidRPr="00A43C51">
        <w:rPr>
          <w:rFonts w:ascii="Segoe UI" w:hAnsi="Segoe UI" w:cs="Segoe UI"/>
        </w:rPr>
        <w:t xml:space="preserve">general </w:t>
      </w:r>
      <w:r w:rsidR="00234FB3" w:rsidRPr="00A43C51">
        <w:rPr>
          <w:rFonts w:ascii="Segoe UI" w:hAnsi="Segoe UI" w:cs="Segoe UI"/>
        </w:rPr>
        <w:t xml:space="preserve">guidance for preparing </w:t>
      </w:r>
      <w:r w:rsidR="0050580D" w:rsidRPr="00A43C51">
        <w:rPr>
          <w:rFonts w:ascii="Segoe UI" w:hAnsi="Segoe UI" w:cs="Segoe UI"/>
        </w:rPr>
        <w:t>large group</w:t>
      </w:r>
      <w:r w:rsidR="00234FB3" w:rsidRPr="00A43C51">
        <w:rPr>
          <w:rFonts w:ascii="Segoe UI" w:hAnsi="Segoe UI" w:cs="Segoe UI"/>
        </w:rPr>
        <w:t xml:space="preserve"> </w:t>
      </w:r>
      <w:r w:rsidR="00FE6EA6" w:rsidRPr="00A43C51">
        <w:rPr>
          <w:rFonts w:ascii="Segoe UI" w:hAnsi="Segoe UI" w:cs="Segoe UI"/>
        </w:rPr>
        <w:t>health, dental only</w:t>
      </w:r>
      <w:r w:rsidR="009A2C4E">
        <w:rPr>
          <w:rFonts w:ascii="Segoe UI" w:hAnsi="Segoe UI" w:cs="Segoe UI"/>
        </w:rPr>
        <w:t>,</w:t>
      </w:r>
      <w:r w:rsidR="00FE6EA6" w:rsidRPr="00A43C51">
        <w:rPr>
          <w:rFonts w:ascii="Segoe UI" w:hAnsi="Segoe UI" w:cs="Segoe UI"/>
        </w:rPr>
        <w:t xml:space="preserve"> and vision only </w:t>
      </w:r>
      <w:r w:rsidR="00234FB3" w:rsidRPr="00A43C51">
        <w:rPr>
          <w:rFonts w:ascii="Segoe UI" w:hAnsi="Segoe UI" w:cs="Segoe UI"/>
        </w:rPr>
        <w:t>rate filing</w:t>
      </w:r>
      <w:r w:rsidR="00FE6EA6" w:rsidRPr="00A43C51">
        <w:rPr>
          <w:rFonts w:ascii="Segoe UI" w:hAnsi="Segoe UI" w:cs="Segoe UI"/>
        </w:rPr>
        <w:t>s</w:t>
      </w:r>
      <w:r w:rsidRPr="00A43C51">
        <w:rPr>
          <w:rFonts w:ascii="Segoe UI" w:hAnsi="Segoe UI" w:cs="Segoe UI"/>
        </w:rPr>
        <w:t xml:space="preserve">. </w:t>
      </w:r>
      <w:r w:rsidR="00234FB3" w:rsidRPr="00A43C51">
        <w:rPr>
          <w:rFonts w:ascii="Segoe UI" w:hAnsi="Segoe UI" w:cs="Segoe UI"/>
        </w:rPr>
        <w:t xml:space="preserve">Although </w:t>
      </w:r>
      <w:r w:rsidR="00A41738">
        <w:rPr>
          <w:rFonts w:ascii="Segoe UI" w:hAnsi="Segoe UI" w:cs="Segoe UI"/>
        </w:rPr>
        <w:t>following this guidance</w:t>
      </w:r>
      <w:r w:rsidR="00F22141" w:rsidRPr="00A43C51">
        <w:rPr>
          <w:rFonts w:ascii="Segoe UI" w:hAnsi="Segoe UI" w:cs="Segoe UI"/>
        </w:rPr>
        <w:t xml:space="preserve"> </w:t>
      </w:r>
      <w:r w:rsidR="00234FB3" w:rsidRPr="00A43C51">
        <w:rPr>
          <w:rFonts w:ascii="Segoe UI" w:hAnsi="Segoe UI" w:cs="Segoe UI"/>
        </w:rPr>
        <w:t>does not</w:t>
      </w:r>
      <w:r w:rsidR="00386288" w:rsidRPr="00A43C51">
        <w:rPr>
          <w:rFonts w:ascii="Segoe UI" w:hAnsi="Segoe UI" w:cs="Segoe UI"/>
        </w:rPr>
        <w:t xml:space="preserve"> </w:t>
      </w:r>
      <w:r w:rsidR="00234FB3" w:rsidRPr="00A43C51">
        <w:rPr>
          <w:rFonts w:ascii="Segoe UI" w:hAnsi="Segoe UI" w:cs="Segoe UI"/>
        </w:rPr>
        <w:t xml:space="preserve">guarantee </w:t>
      </w:r>
      <w:r w:rsidR="00386288" w:rsidRPr="00A43C51">
        <w:rPr>
          <w:rFonts w:ascii="Segoe UI" w:hAnsi="Segoe UI" w:cs="Segoe UI"/>
        </w:rPr>
        <w:t xml:space="preserve">that </w:t>
      </w:r>
      <w:r w:rsidR="00234FB3" w:rsidRPr="00A43C51">
        <w:rPr>
          <w:rFonts w:ascii="Segoe UI" w:hAnsi="Segoe UI" w:cs="Segoe UI"/>
        </w:rPr>
        <w:t xml:space="preserve">your rate </w:t>
      </w:r>
      <w:r w:rsidR="00371FC7" w:rsidRPr="00A43C51">
        <w:rPr>
          <w:rFonts w:ascii="Segoe UI" w:hAnsi="Segoe UI" w:cs="Segoe UI"/>
        </w:rPr>
        <w:t>filing will be approved</w:t>
      </w:r>
      <w:r w:rsidR="00F22141" w:rsidRPr="00A43C51">
        <w:rPr>
          <w:rFonts w:ascii="Segoe UI" w:hAnsi="Segoe UI" w:cs="Segoe UI"/>
        </w:rPr>
        <w:t>,</w:t>
      </w:r>
      <w:r w:rsidR="00371FC7" w:rsidRPr="00A43C51">
        <w:rPr>
          <w:rFonts w:ascii="Segoe UI" w:hAnsi="Segoe UI" w:cs="Segoe UI"/>
        </w:rPr>
        <w:t xml:space="preserve"> it will </w:t>
      </w:r>
      <w:r w:rsidR="00234FB3" w:rsidRPr="00A43C51">
        <w:rPr>
          <w:rFonts w:ascii="Segoe UI" w:hAnsi="Segoe UI" w:cs="Segoe UI"/>
        </w:rPr>
        <w:t>help</w:t>
      </w:r>
      <w:r w:rsidR="00371FC7" w:rsidRPr="00A43C51">
        <w:rPr>
          <w:rFonts w:ascii="Segoe UI" w:hAnsi="Segoe UI" w:cs="Segoe UI"/>
        </w:rPr>
        <w:t xml:space="preserve"> expedite </w:t>
      </w:r>
      <w:r w:rsidR="00305550" w:rsidRPr="00A43C51">
        <w:rPr>
          <w:rFonts w:ascii="Segoe UI" w:hAnsi="Segoe UI" w:cs="Segoe UI"/>
        </w:rPr>
        <w:t>the</w:t>
      </w:r>
      <w:r w:rsidR="00386288" w:rsidRPr="00A43C51">
        <w:rPr>
          <w:rFonts w:ascii="Segoe UI" w:hAnsi="Segoe UI" w:cs="Segoe UI"/>
        </w:rPr>
        <w:t xml:space="preserve"> </w:t>
      </w:r>
      <w:r w:rsidR="00234FB3" w:rsidRPr="00A43C51">
        <w:rPr>
          <w:rFonts w:ascii="Segoe UI" w:hAnsi="Segoe UI" w:cs="Segoe UI"/>
        </w:rPr>
        <w:t xml:space="preserve">review </w:t>
      </w:r>
      <w:r w:rsidR="00A41738">
        <w:rPr>
          <w:rFonts w:ascii="Segoe UI" w:hAnsi="Segoe UI" w:cs="Segoe UI"/>
        </w:rPr>
        <w:t>process</w:t>
      </w:r>
      <w:r w:rsidRPr="00A43C51">
        <w:rPr>
          <w:rFonts w:ascii="Segoe UI" w:hAnsi="Segoe UI" w:cs="Segoe UI"/>
        </w:rPr>
        <w:t xml:space="preserve"> </w:t>
      </w:r>
      <w:r w:rsidR="00234FB3" w:rsidRPr="00A43C51">
        <w:rPr>
          <w:rFonts w:ascii="Segoe UI" w:hAnsi="Segoe UI" w:cs="Segoe UI"/>
        </w:rPr>
        <w:t>by</w:t>
      </w:r>
      <w:r w:rsidR="00A41738">
        <w:rPr>
          <w:rFonts w:ascii="Segoe UI" w:hAnsi="Segoe UI" w:cs="Segoe UI"/>
        </w:rPr>
        <w:t xml:space="preserve"> </w:t>
      </w:r>
      <w:r w:rsidR="002B59FD">
        <w:rPr>
          <w:rFonts w:ascii="Segoe UI" w:hAnsi="Segoe UI" w:cs="Segoe UI"/>
        </w:rPr>
        <w:t>avoiding</w:t>
      </w:r>
      <w:r w:rsidR="00A41738">
        <w:rPr>
          <w:rFonts w:ascii="Segoe UI" w:hAnsi="Segoe UI" w:cs="Segoe UI"/>
        </w:rPr>
        <w:t xml:space="preserve"> common mistakes that </w:t>
      </w:r>
      <w:r w:rsidR="005B4D16">
        <w:rPr>
          <w:rFonts w:ascii="Segoe UI" w:hAnsi="Segoe UI" w:cs="Segoe UI"/>
        </w:rPr>
        <w:t>result in objections</w:t>
      </w:r>
      <w:r w:rsidR="00A41738">
        <w:rPr>
          <w:rFonts w:ascii="Segoe UI" w:hAnsi="Segoe UI" w:cs="Segoe UI"/>
        </w:rPr>
        <w:t>.</w:t>
      </w:r>
    </w:p>
    <w:p w14:paraId="02BB4DB4" w14:textId="36CA48EC" w:rsidR="00C835D6" w:rsidRPr="000B2B22" w:rsidRDefault="00C835D6" w:rsidP="00C835D6">
      <w:pPr>
        <w:pStyle w:val="Heading1"/>
        <w:pBdr>
          <w:bottom w:val="single" w:sz="6" w:space="1" w:color="auto"/>
        </w:pBdr>
        <w:ind w:left="504" w:hanging="504"/>
        <w:rPr>
          <w:rFonts w:ascii="Segoe UI" w:hAnsi="Segoe UI" w:cs="Segoe UI"/>
          <w:b w:val="0"/>
          <w:bCs w:val="0"/>
        </w:rPr>
      </w:pPr>
      <w:bookmarkStart w:id="1" w:name="_Toc34204984"/>
      <w:r w:rsidRPr="000B2B22">
        <w:rPr>
          <w:rFonts w:ascii="Segoe UI" w:hAnsi="Segoe UI" w:cs="Segoe UI"/>
          <w:b w:val="0"/>
          <w:bCs w:val="0"/>
        </w:rPr>
        <w:t>Who should use this document?</w:t>
      </w:r>
      <w:bookmarkEnd w:id="1"/>
    </w:p>
    <w:p w14:paraId="66A09ED2" w14:textId="006C240E" w:rsidR="00C835D6" w:rsidRPr="00C835D6" w:rsidRDefault="00C835D6" w:rsidP="00C835D6">
      <w:pPr>
        <w:rPr>
          <w:rFonts w:ascii="Segoe UI" w:hAnsi="Segoe UI" w:cs="Segoe UI"/>
        </w:rPr>
      </w:pPr>
      <w:r w:rsidRPr="00C835D6">
        <w:rPr>
          <w:rFonts w:ascii="Segoe UI" w:hAnsi="Segoe UI" w:cs="Segoe UI"/>
          <w:b/>
        </w:rPr>
        <w:t xml:space="preserve">Applicable Licenses: </w:t>
      </w:r>
      <w:r w:rsidRPr="00C835D6">
        <w:rPr>
          <w:rFonts w:ascii="Segoe UI" w:hAnsi="Segoe UI" w:cs="Segoe UI"/>
        </w:rPr>
        <w:t>HCSCs, HMOs and Disability Issuers.</w:t>
      </w:r>
    </w:p>
    <w:p w14:paraId="3AF9D37B" w14:textId="77777777" w:rsidR="00C835D6" w:rsidRPr="00C835D6" w:rsidRDefault="00C835D6" w:rsidP="00C835D6">
      <w:pPr>
        <w:rPr>
          <w:rFonts w:ascii="Segoe UI" w:hAnsi="Segoe UI" w:cs="Segoe UI"/>
        </w:rPr>
      </w:pPr>
      <w:r w:rsidRPr="00C835D6">
        <w:rPr>
          <w:rFonts w:ascii="Segoe UI" w:hAnsi="Segoe UI" w:cs="Segoe UI"/>
          <w:b/>
        </w:rPr>
        <w:t xml:space="preserve">Applicable TOIs: </w:t>
      </w:r>
      <w:r w:rsidRPr="00C835D6">
        <w:rPr>
          <w:rFonts w:ascii="Segoe UI" w:hAnsi="Segoe UI" w:cs="Segoe UI"/>
        </w:rPr>
        <w:t>H10G, H16G, H20G, and HOrg02G.</w:t>
      </w:r>
    </w:p>
    <w:p w14:paraId="63B39359" w14:textId="6169223D" w:rsidR="00FE6EA6" w:rsidRPr="00A43C51" w:rsidRDefault="00C835D6" w:rsidP="00C835D6">
      <w:pPr>
        <w:rPr>
          <w:rFonts w:ascii="Segoe UI" w:hAnsi="Segoe UI" w:cs="Segoe UI"/>
          <w:b/>
        </w:rPr>
      </w:pPr>
      <w:r w:rsidRPr="00C835D6">
        <w:rPr>
          <w:rFonts w:ascii="Segoe UI" w:hAnsi="Segoe UI" w:cs="Segoe UI"/>
          <w:b/>
        </w:rPr>
        <w:t xml:space="preserve">Other Information: </w:t>
      </w:r>
      <w:r w:rsidR="007D130C" w:rsidRPr="000B2B22">
        <w:rPr>
          <w:rFonts w:ascii="Segoe UI" w:hAnsi="Segoe UI" w:cs="Segoe UI"/>
          <w:bCs/>
        </w:rPr>
        <w:t>C</w:t>
      </w:r>
      <w:r w:rsidR="00FE6EA6" w:rsidRPr="000B2B22">
        <w:rPr>
          <w:rFonts w:ascii="Segoe UI" w:hAnsi="Segoe UI" w:cs="Segoe UI"/>
          <w:bCs/>
        </w:rPr>
        <w:t>arriers do not need to file a larg</w:t>
      </w:r>
      <w:r w:rsidR="00886137" w:rsidRPr="000B2B22">
        <w:rPr>
          <w:rFonts w:ascii="Segoe UI" w:hAnsi="Segoe UI" w:cs="Segoe UI"/>
          <w:bCs/>
        </w:rPr>
        <w:t xml:space="preserve">e group health, dental only, or </w:t>
      </w:r>
      <w:r w:rsidR="00FE6EA6" w:rsidRPr="000B2B22">
        <w:rPr>
          <w:rFonts w:ascii="Segoe UI" w:hAnsi="Segoe UI" w:cs="Segoe UI"/>
          <w:bCs/>
        </w:rPr>
        <w:t xml:space="preserve">vision only rate manual when they file their rates via negotiated rate filing methodologies (see </w:t>
      </w:r>
      <w:r w:rsidR="00927E7E" w:rsidRPr="000B2B22">
        <w:rPr>
          <w:rFonts w:ascii="Segoe UI" w:hAnsi="Segoe UI" w:cs="Segoe UI"/>
          <w:bCs/>
          <w:u w:val="single"/>
        </w:rPr>
        <w:t>STM</w:t>
      </w:r>
      <w:r w:rsidR="00FE6EA6" w:rsidRPr="000B2B22">
        <w:rPr>
          <w:rFonts w:ascii="Segoe UI" w:hAnsi="Segoe UI" w:cs="Segoe UI"/>
          <w:bCs/>
          <w:u w:val="single"/>
        </w:rPr>
        <w:t xml:space="preserve"> - Rates - Health Dental Vision - Large Group </w:t>
      </w:r>
      <w:r w:rsidR="009A2C4E" w:rsidRPr="000B2B22">
        <w:rPr>
          <w:rFonts w:ascii="Segoe UI" w:hAnsi="Segoe UI" w:cs="Segoe UI"/>
          <w:bCs/>
          <w:u w:val="single"/>
        </w:rPr>
        <w:t>Filings</w:t>
      </w:r>
      <w:r w:rsidR="00FE6EA6" w:rsidRPr="000B2B22">
        <w:rPr>
          <w:rFonts w:ascii="Segoe UI" w:hAnsi="Segoe UI" w:cs="Segoe UI"/>
          <w:bCs/>
        </w:rPr>
        <w:t xml:space="preserve"> for details).</w:t>
      </w:r>
    </w:p>
    <w:p w14:paraId="7B28AB2C" w14:textId="77777777" w:rsidR="00325362" w:rsidRPr="00A43C51" w:rsidRDefault="00325362" w:rsidP="005A0D7C">
      <w:pPr>
        <w:pStyle w:val="TOCHeading"/>
        <w:rPr>
          <w:rStyle w:val="Heading1Char"/>
          <w:rFonts w:ascii="Segoe UI" w:hAnsi="Segoe UI" w:cs="Segoe UI"/>
          <w:color w:val="auto"/>
        </w:rPr>
      </w:pPr>
      <w:bookmarkStart w:id="2" w:name="_Toc3277328"/>
      <w:r w:rsidRPr="00A43C51">
        <w:rPr>
          <w:rStyle w:val="Heading1Char"/>
          <w:rFonts w:ascii="Segoe UI" w:hAnsi="Segoe UI" w:cs="Segoe UI"/>
        </w:rPr>
        <w:t>G</w:t>
      </w:r>
      <w:r w:rsidR="005A0D7C" w:rsidRPr="00A43C51">
        <w:rPr>
          <w:rStyle w:val="Heading1Char"/>
          <w:rFonts w:ascii="Segoe UI" w:hAnsi="Segoe UI" w:cs="Segoe UI"/>
        </w:rPr>
        <w:t>uidance</w:t>
      </w:r>
      <w:bookmarkEnd w:id="2"/>
    </w:p>
    <w:p w14:paraId="623BC220" w14:textId="77777777" w:rsidR="002E495E" w:rsidRPr="00A43C51" w:rsidRDefault="00034014" w:rsidP="005A0D7C">
      <w:pPr>
        <w:pStyle w:val="ListParagraph"/>
        <w:numPr>
          <w:ilvl w:val="0"/>
          <w:numId w:val="1"/>
        </w:numPr>
        <w:rPr>
          <w:rStyle w:val="Heading2Char"/>
          <w:rFonts w:ascii="Segoe UI" w:hAnsi="Segoe UI" w:cs="Segoe UI"/>
          <w:color w:val="auto"/>
          <w:sz w:val="24"/>
        </w:rPr>
      </w:pPr>
      <w:bookmarkStart w:id="3" w:name="_Toc3277329"/>
      <w:r w:rsidRPr="00A43C51">
        <w:rPr>
          <w:rStyle w:val="Heading2Char"/>
          <w:rFonts w:ascii="Segoe UI" w:hAnsi="Segoe UI" w:cs="Segoe UI"/>
          <w:color w:val="auto"/>
          <w:sz w:val="24"/>
        </w:rPr>
        <w:t>Rate Calculations</w:t>
      </w:r>
      <w:bookmarkEnd w:id="3"/>
    </w:p>
    <w:p w14:paraId="29932B4E" w14:textId="3B1C8568" w:rsidR="0002318D" w:rsidRPr="00A43C51" w:rsidRDefault="00034014" w:rsidP="005A0D7C">
      <w:pPr>
        <w:pStyle w:val="ListParagraph"/>
        <w:numPr>
          <w:ilvl w:val="1"/>
          <w:numId w:val="1"/>
        </w:numPr>
        <w:rPr>
          <w:rFonts w:ascii="Segoe UI" w:eastAsiaTheme="majorEastAsia" w:hAnsi="Segoe UI" w:cs="Segoe UI"/>
          <w:b/>
          <w:bCs/>
          <w:sz w:val="24"/>
          <w:szCs w:val="26"/>
        </w:rPr>
      </w:pPr>
      <w:r w:rsidRPr="00A43C51">
        <w:rPr>
          <w:rFonts w:ascii="Segoe UI" w:hAnsi="Segoe UI" w:cs="Segoe UI"/>
        </w:rPr>
        <w:t>The rate manual</w:t>
      </w:r>
      <w:r w:rsidR="002A3E57">
        <w:rPr>
          <w:rFonts w:ascii="Segoe UI" w:hAnsi="Segoe UI" w:cs="Segoe UI"/>
        </w:rPr>
        <w:t>, as submitted in the current filing alone,</w:t>
      </w:r>
      <w:r w:rsidRPr="00A43C51">
        <w:rPr>
          <w:rFonts w:ascii="Segoe UI" w:hAnsi="Segoe UI" w:cs="Segoe UI"/>
        </w:rPr>
        <w:t xml:space="preserve"> must account for all variations of rate calculations </w:t>
      </w:r>
      <w:r w:rsidR="002A3E57">
        <w:rPr>
          <w:rFonts w:ascii="Segoe UI" w:hAnsi="Segoe UI" w:cs="Segoe UI"/>
        </w:rPr>
        <w:t>that are applicable to the affected forms.</w:t>
      </w:r>
      <w:r w:rsidR="00C86F85" w:rsidRPr="00A43C51">
        <w:rPr>
          <w:rFonts w:ascii="Segoe UI" w:hAnsi="Segoe UI" w:cs="Segoe UI"/>
        </w:rPr>
        <w:t xml:space="preserve"> </w:t>
      </w:r>
      <w:r w:rsidRPr="00A43C51">
        <w:rPr>
          <w:rFonts w:ascii="Segoe UI" w:hAnsi="Segoe UI" w:cs="Segoe UI"/>
        </w:rPr>
        <w:t xml:space="preserve">Therefore, </w:t>
      </w:r>
      <w:r w:rsidR="0050580D" w:rsidRPr="00A43C51">
        <w:rPr>
          <w:rFonts w:ascii="Segoe UI" w:hAnsi="Segoe UI" w:cs="Segoe UI"/>
        </w:rPr>
        <w:t xml:space="preserve">rates are only </w:t>
      </w:r>
      <w:r w:rsidR="009A2C4E">
        <w:rPr>
          <w:rFonts w:ascii="Segoe UI" w:hAnsi="Segoe UI" w:cs="Segoe UI"/>
        </w:rPr>
        <w:t>“</w:t>
      </w:r>
      <w:r w:rsidR="0050580D" w:rsidRPr="00A43C51">
        <w:rPr>
          <w:rFonts w:ascii="Segoe UI" w:hAnsi="Segoe UI" w:cs="Segoe UI"/>
        </w:rPr>
        <w:t>filed</w:t>
      </w:r>
      <w:r w:rsidR="009A2C4E">
        <w:rPr>
          <w:rFonts w:ascii="Segoe UI" w:hAnsi="Segoe UI" w:cs="Segoe UI"/>
        </w:rPr>
        <w:t>”</w:t>
      </w:r>
      <w:r w:rsidR="0050580D" w:rsidRPr="00A43C51">
        <w:rPr>
          <w:rFonts w:ascii="Segoe UI" w:hAnsi="Segoe UI" w:cs="Segoe UI"/>
        </w:rPr>
        <w:t xml:space="preserve"> via a </w:t>
      </w:r>
      <w:proofErr w:type="spellStart"/>
      <w:r w:rsidR="0050580D" w:rsidRPr="00A43C51">
        <w:rPr>
          <w:rFonts w:ascii="Segoe UI" w:hAnsi="Segoe UI" w:cs="Segoe UI"/>
        </w:rPr>
        <w:t>filed</w:t>
      </w:r>
      <w:proofErr w:type="spellEnd"/>
      <w:r w:rsidR="0050580D" w:rsidRPr="00A43C51">
        <w:rPr>
          <w:rFonts w:ascii="Segoe UI" w:hAnsi="Segoe UI" w:cs="Segoe UI"/>
        </w:rPr>
        <w:t xml:space="preserve"> rate manual if </w:t>
      </w:r>
      <w:r w:rsidRPr="00A43C51">
        <w:rPr>
          <w:rFonts w:ascii="Segoe UI" w:hAnsi="Segoe UI" w:cs="Segoe UI"/>
        </w:rPr>
        <w:t xml:space="preserve">your rate calculations follow the rate manual exactly as filed, using only the group’s information and policy specifications. </w:t>
      </w:r>
      <w:r w:rsidR="00D12FBE" w:rsidRPr="00A43C51">
        <w:rPr>
          <w:rFonts w:ascii="Segoe UI" w:hAnsi="Segoe UI" w:cs="Segoe UI"/>
        </w:rPr>
        <w:t xml:space="preserve">Using unfiled rates </w:t>
      </w:r>
      <w:r w:rsidR="00272256" w:rsidRPr="00A43C51">
        <w:rPr>
          <w:rFonts w:ascii="Segoe UI" w:hAnsi="Segoe UI" w:cs="Segoe UI"/>
        </w:rPr>
        <w:t xml:space="preserve">may result </w:t>
      </w:r>
      <w:r w:rsidR="00FA4CDB" w:rsidRPr="00A43C51">
        <w:rPr>
          <w:rFonts w:ascii="Segoe UI" w:hAnsi="Segoe UI" w:cs="Segoe UI"/>
        </w:rPr>
        <w:t>in</w:t>
      </w:r>
      <w:r w:rsidR="00875A2C">
        <w:rPr>
          <w:rFonts w:ascii="Segoe UI" w:hAnsi="Segoe UI" w:cs="Segoe UI"/>
        </w:rPr>
        <w:t xml:space="preserve"> a</w:t>
      </w:r>
      <w:r w:rsidR="00FA4CDB" w:rsidRPr="00A43C51">
        <w:rPr>
          <w:rFonts w:ascii="Segoe UI" w:hAnsi="Segoe UI" w:cs="Segoe UI"/>
        </w:rPr>
        <w:t xml:space="preserve"> disciplinary</w:t>
      </w:r>
      <w:r w:rsidR="00D12FBE" w:rsidRPr="00A43C51">
        <w:rPr>
          <w:rFonts w:ascii="Segoe UI" w:hAnsi="Segoe UI" w:cs="Segoe UI"/>
        </w:rPr>
        <w:t xml:space="preserve"> action. You </w:t>
      </w:r>
      <w:r w:rsidR="00C62877">
        <w:rPr>
          <w:rFonts w:ascii="Segoe UI" w:hAnsi="Segoe UI" w:cs="Segoe UI"/>
        </w:rPr>
        <w:t xml:space="preserve">are using unfiled </w:t>
      </w:r>
      <w:r w:rsidR="00D12FBE" w:rsidRPr="00A43C51">
        <w:rPr>
          <w:rFonts w:ascii="Segoe UI" w:hAnsi="Segoe UI" w:cs="Segoe UI"/>
        </w:rPr>
        <w:t xml:space="preserve">rates if you do not </w:t>
      </w:r>
      <w:r w:rsidR="002D764A" w:rsidRPr="00A43C51">
        <w:rPr>
          <w:rFonts w:ascii="Segoe UI" w:hAnsi="Segoe UI" w:cs="Segoe UI"/>
        </w:rPr>
        <w:t>use the rate manual exactly as it is filed</w:t>
      </w:r>
      <w:r w:rsidR="00C62877">
        <w:rPr>
          <w:rFonts w:ascii="Segoe UI" w:hAnsi="Segoe UI" w:cs="Segoe UI"/>
        </w:rPr>
        <w:t>,</w:t>
      </w:r>
      <w:r w:rsidR="002D764A" w:rsidRPr="00A43C51">
        <w:rPr>
          <w:rFonts w:ascii="Segoe UI" w:hAnsi="Segoe UI" w:cs="Segoe UI"/>
        </w:rPr>
        <w:t xml:space="preserve"> </w:t>
      </w:r>
      <w:r w:rsidR="00C62877">
        <w:rPr>
          <w:rFonts w:ascii="Segoe UI" w:hAnsi="Segoe UI" w:cs="Segoe UI"/>
        </w:rPr>
        <w:t>such as by</w:t>
      </w:r>
      <w:r w:rsidR="00D12FBE" w:rsidRPr="00A43C51">
        <w:rPr>
          <w:rFonts w:ascii="Segoe UI" w:hAnsi="Segoe UI" w:cs="Segoe UI"/>
        </w:rPr>
        <w:t xml:space="preserve"> using rules or factors not explicitly provided in your rate manual.</w:t>
      </w:r>
    </w:p>
    <w:p w14:paraId="0DF11579" w14:textId="77777777" w:rsidR="008542D5" w:rsidRPr="00A43C51" w:rsidRDefault="008542D5" w:rsidP="008542D5">
      <w:pPr>
        <w:pStyle w:val="ListParagraph"/>
        <w:ind w:left="1980"/>
        <w:rPr>
          <w:rFonts w:ascii="Segoe UI" w:eastAsiaTheme="majorEastAsia" w:hAnsi="Segoe UI" w:cs="Segoe UI"/>
          <w:b/>
          <w:bCs/>
          <w:sz w:val="24"/>
          <w:szCs w:val="26"/>
        </w:rPr>
      </w:pPr>
    </w:p>
    <w:p w14:paraId="74D17708" w14:textId="77777777" w:rsidR="00844810" w:rsidRPr="00A43C51" w:rsidRDefault="00844810" w:rsidP="005A0D7C">
      <w:pPr>
        <w:pStyle w:val="ListParagraph"/>
        <w:numPr>
          <w:ilvl w:val="0"/>
          <w:numId w:val="1"/>
        </w:numPr>
        <w:rPr>
          <w:rFonts w:ascii="Segoe UI" w:eastAsiaTheme="majorEastAsia" w:hAnsi="Segoe UI" w:cs="Segoe UI"/>
          <w:b/>
          <w:bCs/>
          <w:sz w:val="24"/>
          <w:szCs w:val="26"/>
        </w:rPr>
      </w:pPr>
      <w:bookmarkStart w:id="4" w:name="_Toc3277330"/>
      <w:r w:rsidRPr="00A43C51">
        <w:rPr>
          <w:rStyle w:val="Heading2Char"/>
          <w:rFonts w:ascii="Segoe UI" w:hAnsi="Segoe UI" w:cs="Segoe UI"/>
          <w:color w:val="auto"/>
          <w:sz w:val="24"/>
        </w:rPr>
        <w:t>Experience</w:t>
      </w:r>
      <w:bookmarkEnd w:id="4"/>
    </w:p>
    <w:p w14:paraId="22D050F7" w14:textId="77777777" w:rsidR="00F2681F" w:rsidRPr="00A43C51" w:rsidRDefault="00FE6EA6" w:rsidP="005A0D7C">
      <w:pPr>
        <w:pStyle w:val="ListParagraph"/>
        <w:numPr>
          <w:ilvl w:val="1"/>
          <w:numId w:val="1"/>
        </w:numPr>
        <w:rPr>
          <w:rFonts w:ascii="Segoe UI" w:hAnsi="Segoe UI" w:cs="Segoe UI"/>
        </w:rPr>
      </w:pPr>
      <w:r w:rsidRPr="00A43C51">
        <w:rPr>
          <w:rFonts w:ascii="Segoe UI" w:hAnsi="Segoe UI" w:cs="Segoe UI"/>
        </w:rPr>
        <w:t xml:space="preserve">Rate manuals should be based on all </w:t>
      </w:r>
      <w:r w:rsidR="00DE511A">
        <w:rPr>
          <w:rFonts w:ascii="Segoe UI" w:hAnsi="Segoe UI" w:cs="Segoe UI"/>
        </w:rPr>
        <w:t xml:space="preserve">experience of </w:t>
      </w:r>
      <w:r w:rsidR="00F2681F" w:rsidRPr="00A43C51">
        <w:rPr>
          <w:rFonts w:ascii="Segoe UI" w:hAnsi="Segoe UI" w:cs="Segoe UI"/>
        </w:rPr>
        <w:t>corresponding large group health plans, large group dental only plans, or large gr</w:t>
      </w:r>
      <w:r w:rsidR="00DE511A">
        <w:rPr>
          <w:rFonts w:ascii="Segoe UI" w:hAnsi="Segoe UI" w:cs="Segoe UI"/>
        </w:rPr>
        <w:t>oup vision only plans</w:t>
      </w:r>
      <w:r w:rsidR="00F2681F" w:rsidRPr="00A43C51">
        <w:rPr>
          <w:rFonts w:ascii="Segoe UI" w:hAnsi="Segoe UI" w:cs="Segoe UI"/>
        </w:rPr>
        <w:t>.</w:t>
      </w:r>
    </w:p>
    <w:p w14:paraId="2CBECC4E" w14:textId="5D801CD7" w:rsidR="00844810" w:rsidRPr="00A43C51" w:rsidRDefault="00F2681F" w:rsidP="005A0D7C">
      <w:pPr>
        <w:pStyle w:val="ListParagraph"/>
        <w:numPr>
          <w:ilvl w:val="1"/>
          <w:numId w:val="1"/>
        </w:numPr>
        <w:rPr>
          <w:rFonts w:ascii="Segoe UI" w:hAnsi="Segoe UI" w:cs="Segoe UI"/>
        </w:rPr>
      </w:pPr>
      <w:r w:rsidRPr="00A43C51">
        <w:rPr>
          <w:rFonts w:ascii="Segoe UI" w:hAnsi="Segoe UI" w:cs="Segoe UI"/>
        </w:rPr>
        <w:t xml:space="preserve">Rate manuals cannot include general rating formulas that determine a group-specific rating factor because rates must be filed before use per </w:t>
      </w:r>
      <w:r w:rsidR="00D461CA">
        <w:rPr>
          <w:rFonts w:ascii="Segoe UI" w:hAnsi="Segoe UI" w:cs="Segoe UI"/>
        </w:rPr>
        <w:t xml:space="preserve">RCW 48.43.733(1). </w:t>
      </w:r>
      <w:r w:rsidRPr="00A43C51">
        <w:rPr>
          <w:rFonts w:ascii="Segoe UI" w:hAnsi="Segoe UI" w:cs="Segoe UI"/>
        </w:rPr>
        <w:t>However, r</w:t>
      </w:r>
      <w:r w:rsidR="00440376" w:rsidRPr="00A43C51">
        <w:rPr>
          <w:rFonts w:ascii="Segoe UI" w:hAnsi="Segoe UI" w:cs="Segoe UI"/>
        </w:rPr>
        <w:t>ate manuals may include group-specific rating factors</w:t>
      </w:r>
      <w:r w:rsidRPr="00A43C51">
        <w:rPr>
          <w:rFonts w:ascii="Segoe UI" w:hAnsi="Segoe UI" w:cs="Segoe UI"/>
        </w:rPr>
        <w:t xml:space="preserve"> </w:t>
      </w:r>
      <w:r w:rsidR="00FE6EA6" w:rsidRPr="00A43C51">
        <w:rPr>
          <w:rFonts w:ascii="Segoe UI" w:hAnsi="Segoe UI" w:cs="Segoe UI"/>
        </w:rPr>
        <w:t xml:space="preserve">if </w:t>
      </w:r>
      <w:r w:rsidR="0085305E" w:rsidRPr="00A43C51">
        <w:rPr>
          <w:rFonts w:ascii="Segoe UI" w:hAnsi="Segoe UI" w:cs="Segoe UI"/>
        </w:rPr>
        <w:t xml:space="preserve">the </w:t>
      </w:r>
      <w:r w:rsidR="00440376" w:rsidRPr="00A43C51">
        <w:rPr>
          <w:rFonts w:ascii="Segoe UI" w:hAnsi="Segoe UI" w:cs="Segoe UI"/>
        </w:rPr>
        <w:t>factor</w:t>
      </w:r>
      <w:r w:rsidR="00FE6EA6" w:rsidRPr="00A43C51">
        <w:rPr>
          <w:rFonts w:ascii="Segoe UI" w:hAnsi="Segoe UI" w:cs="Segoe UI"/>
        </w:rPr>
        <w:t>s</w:t>
      </w:r>
      <w:r w:rsidR="00440376" w:rsidRPr="00A43C51">
        <w:rPr>
          <w:rFonts w:ascii="Segoe UI" w:hAnsi="Segoe UI" w:cs="Segoe UI"/>
        </w:rPr>
        <w:t xml:space="preserve"> </w:t>
      </w:r>
      <w:r w:rsidR="00FE6EA6" w:rsidRPr="00A43C51">
        <w:rPr>
          <w:rFonts w:ascii="Segoe UI" w:hAnsi="Segoe UI" w:cs="Segoe UI"/>
        </w:rPr>
        <w:t>are</w:t>
      </w:r>
      <w:r w:rsidR="00440376" w:rsidRPr="00A43C51">
        <w:rPr>
          <w:rFonts w:ascii="Segoe UI" w:hAnsi="Segoe UI" w:cs="Segoe UI"/>
        </w:rPr>
        <w:t xml:space="preserve"> explicitly stated in the rate manual</w:t>
      </w:r>
      <w:r w:rsidR="00FE6EA6" w:rsidRPr="00A43C51">
        <w:rPr>
          <w:rFonts w:ascii="Segoe UI" w:hAnsi="Segoe UI" w:cs="Segoe UI"/>
        </w:rPr>
        <w:t xml:space="preserve"> prior to use</w:t>
      </w:r>
      <w:r w:rsidRPr="00A43C51">
        <w:rPr>
          <w:rFonts w:ascii="Segoe UI" w:hAnsi="Segoe UI" w:cs="Segoe UI"/>
        </w:rPr>
        <w:t xml:space="preserve"> (e.g., using a group-specific rating factor table). Alternatively, these rates m</w:t>
      </w:r>
      <w:r w:rsidR="00FE6EA6" w:rsidRPr="00A43C51">
        <w:rPr>
          <w:rFonts w:ascii="Segoe UI" w:hAnsi="Segoe UI" w:cs="Segoe UI"/>
        </w:rPr>
        <w:t xml:space="preserve">ay be filed via negotiated </w:t>
      </w:r>
      <w:r w:rsidRPr="00A43C51">
        <w:rPr>
          <w:rFonts w:ascii="Segoe UI" w:hAnsi="Segoe UI" w:cs="Segoe UI"/>
        </w:rPr>
        <w:t xml:space="preserve">rate </w:t>
      </w:r>
      <w:r w:rsidR="00FE6EA6" w:rsidRPr="00A43C51">
        <w:rPr>
          <w:rFonts w:ascii="Segoe UI" w:hAnsi="Segoe UI" w:cs="Segoe UI"/>
        </w:rPr>
        <w:t xml:space="preserve">filings within 30 working days after the </w:t>
      </w:r>
      <w:r w:rsidR="007D130C" w:rsidRPr="00A43C51">
        <w:rPr>
          <w:rFonts w:ascii="Segoe UI" w:hAnsi="Segoe UI" w:cs="Segoe UI"/>
        </w:rPr>
        <w:t>effective date</w:t>
      </w:r>
      <w:r w:rsidR="007D130C">
        <w:rPr>
          <w:rFonts w:ascii="Segoe UI" w:hAnsi="Segoe UI" w:cs="Segoe UI"/>
        </w:rPr>
        <w:t xml:space="preserve"> or the date contract negotiations are completed (whichever is earlier);</w:t>
      </w:r>
      <w:r w:rsidR="007D130C" w:rsidRPr="00A43C51">
        <w:rPr>
          <w:rFonts w:ascii="Segoe UI" w:hAnsi="Segoe UI" w:cs="Segoe UI"/>
        </w:rPr>
        <w:t xml:space="preserve"> </w:t>
      </w:r>
      <w:r w:rsidR="007D130C">
        <w:rPr>
          <w:rFonts w:ascii="Segoe UI" w:hAnsi="Segoe UI" w:cs="Segoe UI"/>
        </w:rPr>
        <w:t>this</w:t>
      </w:r>
      <w:r w:rsidR="007D130C" w:rsidRPr="00A43C51">
        <w:rPr>
          <w:rFonts w:ascii="Segoe UI" w:hAnsi="Segoe UI" w:cs="Segoe UI"/>
        </w:rPr>
        <w:t xml:space="preserve"> is the alternative filing methodology we recommend to carriers that wish to use group-specific rating </w:t>
      </w:r>
      <w:r w:rsidR="004A2CB9" w:rsidRPr="00A43C51">
        <w:rPr>
          <w:rFonts w:ascii="Segoe UI" w:hAnsi="Segoe UI" w:cs="Segoe UI"/>
        </w:rPr>
        <w:t>(</w:t>
      </w:r>
      <w:r w:rsidR="00FE6EA6" w:rsidRPr="00A43C51">
        <w:rPr>
          <w:rFonts w:ascii="Segoe UI" w:hAnsi="Segoe UI" w:cs="Segoe UI"/>
        </w:rPr>
        <w:t xml:space="preserve">see </w:t>
      </w:r>
      <w:r w:rsidR="00927E7E" w:rsidRPr="00A43C51">
        <w:rPr>
          <w:rFonts w:ascii="Segoe UI" w:hAnsi="Segoe UI" w:cs="Segoe UI"/>
        </w:rPr>
        <w:t>STM</w:t>
      </w:r>
      <w:r w:rsidR="00FE6EA6" w:rsidRPr="00A43C51">
        <w:rPr>
          <w:rFonts w:ascii="Segoe UI" w:hAnsi="Segoe UI" w:cs="Segoe UI"/>
        </w:rPr>
        <w:t xml:space="preserve"> - Rates - Health Denta</w:t>
      </w:r>
      <w:r w:rsidR="007D130C">
        <w:rPr>
          <w:rFonts w:ascii="Segoe UI" w:hAnsi="Segoe UI" w:cs="Segoe UI"/>
        </w:rPr>
        <w:t xml:space="preserve">l Vision - Large Group </w:t>
      </w:r>
      <w:r w:rsidR="00984357">
        <w:rPr>
          <w:rFonts w:ascii="Segoe UI" w:hAnsi="Segoe UI" w:cs="Segoe UI"/>
        </w:rPr>
        <w:t>Filings</w:t>
      </w:r>
      <w:r w:rsidR="007D130C">
        <w:rPr>
          <w:rFonts w:ascii="Segoe UI" w:hAnsi="Segoe UI" w:cs="Segoe UI"/>
        </w:rPr>
        <w:t xml:space="preserve"> </w:t>
      </w:r>
      <w:r w:rsidR="00FE6EA6" w:rsidRPr="00A43C51">
        <w:rPr>
          <w:rFonts w:ascii="Segoe UI" w:hAnsi="Segoe UI" w:cs="Segoe UI"/>
        </w:rPr>
        <w:t>for details)</w:t>
      </w:r>
      <w:r w:rsidR="0085305E" w:rsidRPr="00A43C51">
        <w:rPr>
          <w:rFonts w:ascii="Segoe UI" w:hAnsi="Segoe UI" w:cs="Segoe UI"/>
        </w:rPr>
        <w:t>.</w:t>
      </w:r>
    </w:p>
    <w:p w14:paraId="2EB08522" w14:textId="77777777" w:rsidR="008542D5" w:rsidRPr="00A43C51" w:rsidRDefault="008542D5" w:rsidP="008542D5">
      <w:pPr>
        <w:pStyle w:val="ListParagraph"/>
        <w:ind w:left="1980"/>
        <w:rPr>
          <w:rFonts w:ascii="Segoe UI" w:hAnsi="Segoe UI" w:cs="Segoe UI"/>
          <w:highlight w:val="yellow"/>
        </w:rPr>
      </w:pPr>
    </w:p>
    <w:p w14:paraId="44F0370D" w14:textId="77777777" w:rsidR="00034014" w:rsidRPr="00A43C51" w:rsidRDefault="00034014" w:rsidP="005A0D7C">
      <w:pPr>
        <w:pStyle w:val="ListParagraph"/>
        <w:numPr>
          <w:ilvl w:val="0"/>
          <w:numId w:val="1"/>
        </w:numPr>
        <w:rPr>
          <w:rStyle w:val="Heading2Char"/>
          <w:rFonts w:ascii="Segoe UI" w:hAnsi="Segoe UI" w:cs="Segoe UI"/>
          <w:color w:val="auto"/>
          <w:sz w:val="24"/>
        </w:rPr>
      </w:pPr>
      <w:bookmarkStart w:id="5" w:name="_Toc3277331"/>
      <w:r w:rsidRPr="00A43C51">
        <w:rPr>
          <w:rStyle w:val="Heading2Char"/>
          <w:rFonts w:ascii="Segoe UI" w:hAnsi="Segoe UI" w:cs="Segoe UI"/>
          <w:color w:val="auto"/>
          <w:sz w:val="24"/>
        </w:rPr>
        <w:t>Underwriting</w:t>
      </w:r>
      <w:bookmarkEnd w:id="5"/>
    </w:p>
    <w:p w14:paraId="4E7CD56C" w14:textId="77777777" w:rsidR="00034014" w:rsidRPr="00A43C51" w:rsidRDefault="00034014" w:rsidP="005A0D7C">
      <w:pPr>
        <w:pStyle w:val="ListParagraph"/>
        <w:numPr>
          <w:ilvl w:val="1"/>
          <w:numId w:val="1"/>
        </w:numPr>
        <w:rPr>
          <w:rFonts w:ascii="Segoe UI" w:hAnsi="Segoe UI" w:cs="Segoe UI"/>
        </w:rPr>
      </w:pPr>
      <w:r w:rsidRPr="00A43C51">
        <w:rPr>
          <w:rFonts w:ascii="Segoe UI" w:hAnsi="Segoe UI" w:cs="Segoe UI"/>
        </w:rPr>
        <w:t>Y</w:t>
      </w:r>
      <w:r w:rsidR="008542D5" w:rsidRPr="00A43C51">
        <w:rPr>
          <w:rFonts w:ascii="Segoe UI" w:hAnsi="Segoe UI" w:cs="Segoe UI"/>
        </w:rPr>
        <w:t>our rate manual must establish</w:t>
      </w:r>
      <w:r w:rsidRPr="00A43C51">
        <w:rPr>
          <w:rFonts w:ascii="Segoe UI" w:hAnsi="Segoe UI" w:cs="Segoe UI"/>
        </w:rPr>
        <w:t xml:space="preserve"> clear rules that account for all variations of underwriting adjustments you intend to use in your rate calculations. Therefore, you must ensure </w:t>
      </w:r>
      <w:r w:rsidR="00984357">
        <w:rPr>
          <w:rFonts w:ascii="Segoe UI" w:hAnsi="Segoe UI" w:cs="Segoe UI"/>
        </w:rPr>
        <w:t xml:space="preserve">that </w:t>
      </w:r>
      <w:r w:rsidRPr="00A43C51">
        <w:rPr>
          <w:rFonts w:ascii="Segoe UI" w:hAnsi="Segoe UI" w:cs="Segoe UI"/>
        </w:rPr>
        <w:t xml:space="preserve">we can duplicate the results of your underwriting adjustments. </w:t>
      </w:r>
    </w:p>
    <w:p w14:paraId="26147910" w14:textId="77777777" w:rsidR="002E495E" w:rsidRPr="00A43C51" w:rsidRDefault="00034014" w:rsidP="005A0D7C">
      <w:pPr>
        <w:pStyle w:val="ListParagraph"/>
        <w:numPr>
          <w:ilvl w:val="1"/>
          <w:numId w:val="1"/>
        </w:numPr>
        <w:rPr>
          <w:rFonts w:ascii="Segoe UI" w:hAnsi="Segoe UI" w:cs="Segoe UI"/>
        </w:rPr>
      </w:pPr>
      <w:r w:rsidRPr="00A43C51">
        <w:rPr>
          <w:rFonts w:ascii="Segoe UI" w:hAnsi="Segoe UI" w:cs="Segoe UI"/>
        </w:rPr>
        <w:t xml:space="preserve">If applicant surveys are used </w:t>
      </w:r>
      <w:r w:rsidR="00D12FBE" w:rsidRPr="00A43C51">
        <w:rPr>
          <w:rFonts w:ascii="Segoe UI" w:hAnsi="Segoe UI" w:cs="Segoe UI"/>
        </w:rPr>
        <w:t>in any variation of your rate calculation</w:t>
      </w:r>
      <w:r w:rsidRPr="00A43C51">
        <w:rPr>
          <w:rFonts w:ascii="Segoe UI" w:hAnsi="Segoe UI" w:cs="Segoe UI"/>
        </w:rPr>
        <w:t xml:space="preserve">, </w:t>
      </w:r>
      <w:r w:rsidR="00D12FBE" w:rsidRPr="00A43C51">
        <w:rPr>
          <w:rFonts w:ascii="Segoe UI" w:hAnsi="Segoe UI" w:cs="Segoe UI"/>
        </w:rPr>
        <w:t xml:space="preserve">a copy of the survey and </w:t>
      </w:r>
      <w:r w:rsidRPr="00A43C51">
        <w:rPr>
          <w:rFonts w:ascii="Segoe UI" w:hAnsi="Segoe UI" w:cs="Segoe UI"/>
        </w:rPr>
        <w:t>rules for scoring the surveys will be required.</w:t>
      </w:r>
    </w:p>
    <w:p w14:paraId="7A7512B5" w14:textId="77777777" w:rsidR="008542D5" w:rsidRPr="00A43C51" w:rsidRDefault="008542D5" w:rsidP="008542D5">
      <w:pPr>
        <w:pStyle w:val="ListParagraph"/>
        <w:ind w:left="1980"/>
        <w:rPr>
          <w:rFonts w:ascii="Segoe UI" w:hAnsi="Segoe UI" w:cs="Segoe UI"/>
        </w:rPr>
      </w:pPr>
    </w:p>
    <w:p w14:paraId="785B96EC" w14:textId="77777777" w:rsidR="003E3A12" w:rsidRPr="00A43C51" w:rsidRDefault="003E3A12" w:rsidP="005A0D7C">
      <w:pPr>
        <w:pStyle w:val="ListParagraph"/>
        <w:numPr>
          <w:ilvl w:val="0"/>
          <w:numId w:val="1"/>
        </w:numPr>
        <w:rPr>
          <w:rFonts w:ascii="Segoe UI" w:hAnsi="Segoe UI" w:cs="Segoe UI"/>
        </w:rPr>
      </w:pPr>
      <w:bookmarkStart w:id="6" w:name="_Toc3277332"/>
      <w:r w:rsidRPr="00A43C51">
        <w:rPr>
          <w:rStyle w:val="Heading2Char"/>
          <w:rFonts w:ascii="Segoe UI" w:hAnsi="Segoe UI" w:cs="Segoe UI"/>
          <w:color w:val="auto"/>
          <w:sz w:val="24"/>
        </w:rPr>
        <w:t>Commissions</w:t>
      </w:r>
      <w:bookmarkEnd w:id="6"/>
    </w:p>
    <w:p w14:paraId="6CB9CE99" w14:textId="77777777" w:rsidR="0002318D" w:rsidRPr="00A43C51" w:rsidRDefault="003E3A12" w:rsidP="005A0D7C">
      <w:pPr>
        <w:pStyle w:val="ListParagraph"/>
        <w:numPr>
          <w:ilvl w:val="1"/>
          <w:numId w:val="1"/>
        </w:numPr>
        <w:rPr>
          <w:rFonts w:ascii="Segoe UI" w:hAnsi="Segoe UI" w:cs="Segoe UI"/>
        </w:rPr>
      </w:pPr>
      <w:r w:rsidRPr="00A43C51">
        <w:rPr>
          <w:rFonts w:ascii="Segoe UI" w:hAnsi="Segoe UI" w:cs="Segoe UI"/>
        </w:rPr>
        <w:t xml:space="preserve">Your rate manual must establish explicit </w:t>
      </w:r>
      <w:r w:rsidR="00621E3B" w:rsidRPr="00A43C51">
        <w:rPr>
          <w:rFonts w:ascii="Segoe UI" w:hAnsi="Segoe UI" w:cs="Segoe UI"/>
        </w:rPr>
        <w:t>rules to</w:t>
      </w:r>
      <w:r w:rsidR="009966B1" w:rsidRPr="00A43C51">
        <w:rPr>
          <w:rFonts w:ascii="Segoe UI" w:hAnsi="Segoe UI" w:cs="Segoe UI"/>
        </w:rPr>
        <w:t xml:space="preserve"> account for </w:t>
      </w:r>
      <w:r w:rsidRPr="00A43C51">
        <w:rPr>
          <w:rFonts w:ascii="Segoe UI" w:hAnsi="Segoe UI" w:cs="Segoe UI"/>
        </w:rPr>
        <w:t xml:space="preserve">commissions in your rate calculations. Note that commission rules in your rate manual may only apply for the purpose of determining premium and </w:t>
      </w:r>
      <w:r w:rsidR="009966B1" w:rsidRPr="00A43C51">
        <w:rPr>
          <w:rFonts w:ascii="Segoe UI" w:hAnsi="Segoe UI" w:cs="Segoe UI"/>
        </w:rPr>
        <w:t xml:space="preserve">not </w:t>
      </w:r>
      <w:r w:rsidRPr="00A43C51">
        <w:rPr>
          <w:rFonts w:ascii="Segoe UI" w:hAnsi="Segoe UI" w:cs="Segoe UI"/>
        </w:rPr>
        <w:t>actual commissions paid.</w:t>
      </w:r>
    </w:p>
    <w:p w14:paraId="2F37AEF5" w14:textId="77777777" w:rsidR="002A1544" w:rsidRDefault="002A1544" w:rsidP="002A1544">
      <w:pPr>
        <w:pStyle w:val="ListParagraph"/>
        <w:ind w:left="1080"/>
        <w:rPr>
          <w:rFonts w:ascii="Segoe UI" w:hAnsi="Segoe UI" w:cs="Segoe UI"/>
          <w:b/>
        </w:rPr>
      </w:pPr>
    </w:p>
    <w:p w14:paraId="063FABB9" w14:textId="77777777" w:rsidR="00D600A8" w:rsidRPr="00A43C51" w:rsidRDefault="003C6107" w:rsidP="00D600A8">
      <w:pPr>
        <w:pStyle w:val="ListParagraph"/>
        <w:ind w:left="1080"/>
        <w:rPr>
          <w:rFonts w:ascii="Segoe UI" w:hAnsi="Segoe UI" w:cs="Segoe UI"/>
        </w:rPr>
      </w:pPr>
      <w:r w:rsidRPr="00A43C51">
        <w:rPr>
          <w:rFonts w:ascii="Segoe UI" w:hAnsi="Segoe UI" w:cs="Segoe UI"/>
          <w:b/>
        </w:rPr>
        <w:t>Example:</w:t>
      </w:r>
      <w:r w:rsidRPr="00A43C51">
        <w:rPr>
          <w:rFonts w:ascii="Segoe UI" w:hAnsi="Segoe UI" w:cs="Segoe UI"/>
        </w:rPr>
        <w:t xml:space="preserve">  </w:t>
      </w:r>
      <w:r w:rsidR="00D600A8" w:rsidRPr="00A43C51">
        <w:rPr>
          <w:rFonts w:ascii="Segoe UI" w:hAnsi="Segoe UI" w:cs="Segoe UI"/>
        </w:rPr>
        <w:t>Suppose premium derived for a group using the rate manual is $100 per person using a 3% commission</w:t>
      </w:r>
      <w:r w:rsidR="00D600A8">
        <w:rPr>
          <w:rFonts w:ascii="Segoe UI" w:hAnsi="Segoe UI" w:cs="Segoe UI"/>
        </w:rPr>
        <w:t>,</w:t>
      </w:r>
      <w:r w:rsidR="00D600A8" w:rsidRPr="00A43C51">
        <w:rPr>
          <w:rFonts w:ascii="Segoe UI" w:hAnsi="Segoe UI" w:cs="Segoe UI"/>
        </w:rPr>
        <w:t xml:space="preserve"> which is the </w:t>
      </w:r>
      <w:r w:rsidR="00D600A8">
        <w:rPr>
          <w:rFonts w:ascii="Segoe UI" w:hAnsi="Segoe UI" w:cs="Segoe UI"/>
        </w:rPr>
        <w:t xml:space="preserve">applicable rate in the </w:t>
      </w:r>
      <w:r w:rsidR="00D600A8" w:rsidRPr="00A43C51">
        <w:rPr>
          <w:rFonts w:ascii="Segoe UI" w:hAnsi="Segoe UI" w:cs="Segoe UI"/>
        </w:rPr>
        <w:t>commission schedule filed in the rate manual</w:t>
      </w:r>
      <w:r w:rsidR="00D600A8">
        <w:rPr>
          <w:rFonts w:ascii="Segoe UI" w:hAnsi="Segoe UI" w:cs="Segoe UI"/>
        </w:rPr>
        <w:t>,</w:t>
      </w:r>
      <w:r w:rsidR="00D600A8" w:rsidRPr="00A43C51">
        <w:rPr>
          <w:rFonts w:ascii="Segoe UI" w:hAnsi="Segoe UI" w:cs="Segoe UI"/>
        </w:rPr>
        <w:t xml:space="preserve"> but the actual commission agreed </w:t>
      </w:r>
      <w:r w:rsidR="00D600A8">
        <w:rPr>
          <w:rFonts w:ascii="Segoe UI" w:hAnsi="Segoe UI" w:cs="Segoe UI"/>
        </w:rPr>
        <w:t xml:space="preserve">upon </w:t>
      </w:r>
      <w:r w:rsidR="00D600A8" w:rsidRPr="00A43C51">
        <w:rPr>
          <w:rFonts w:ascii="Segoe UI" w:hAnsi="Segoe UI" w:cs="Segoe UI"/>
        </w:rPr>
        <w:t xml:space="preserve">for this group is 5% of premium. The issuer </w:t>
      </w:r>
      <w:r w:rsidR="00D600A8">
        <w:rPr>
          <w:rFonts w:ascii="Segoe UI" w:hAnsi="Segoe UI" w:cs="Segoe UI"/>
        </w:rPr>
        <w:t>must</w:t>
      </w:r>
      <w:r w:rsidR="00D600A8" w:rsidRPr="00A43C51">
        <w:rPr>
          <w:rFonts w:ascii="Segoe UI" w:hAnsi="Segoe UI" w:cs="Segoe UI"/>
        </w:rPr>
        <w:t xml:space="preserve"> still charge a premium of $100 per person</w:t>
      </w:r>
      <w:r w:rsidR="00D600A8">
        <w:rPr>
          <w:rFonts w:ascii="Segoe UI" w:hAnsi="Segoe UI" w:cs="Segoe UI"/>
        </w:rPr>
        <w:t>,</w:t>
      </w:r>
      <w:r w:rsidR="00D600A8" w:rsidRPr="00A43C51">
        <w:rPr>
          <w:rFonts w:ascii="Segoe UI" w:hAnsi="Segoe UI" w:cs="Segoe UI"/>
        </w:rPr>
        <w:t xml:space="preserve"> regardless of the amount of the actual paid commission</w:t>
      </w:r>
      <w:r w:rsidR="00D600A8">
        <w:rPr>
          <w:rFonts w:ascii="Segoe UI" w:hAnsi="Segoe UI" w:cs="Segoe UI"/>
        </w:rPr>
        <w:t>, unless the issuer files a separate rate filing for this group</w:t>
      </w:r>
      <w:r w:rsidR="00D600A8" w:rsidRPr="00A43C51">
        <w:rPr>
          <w:rFonts w:ascii="Segoe UI" w:hAnsi="Segoe UI" w:cs="Segoe UI"/>
        </w:rPr>
        <w:t>.</w:t>
      </w:r>
    </w:p>
    <w:p w14:paraId="53AB8CF5" w14:textId="77777777" w:rsidR="008542D5" w:rsidRPr="00A43C51" w:rsidRDefault="008542D5" w:rsidP="00D600A8">
      <w:pPr>
        <w:pStyle w:val="ListParagraph"/>
        <w:ind w:left="1080"/>
        <w:rPr>
          <w:rStyle w:val="readonlydata9"/>
          <w:rFonts w:ascii="Segoe UI" w:hAnsi="Segoe UI" w:cs="Segoe UI"/>
        </w:rPr>
      </w:pPr>
    </w:p>
    <w:p w14:paraId="774B680B" w14:textId="77777777" w:rsidR="002D764A" w:rsidRPr="00A43C51" w:rsidRDefault="002D764A" w:rsidP="005A0D7C">
      <w:pPr>
        <w:pStyle w:val="ListParagraph"/>
        <w:numPr>
          <w:ilvl w:val="0"/>
          <w:numId w:val="1"/>
        </w:numPr>
        <w:rPr>
          <w:rStyle w:val="Heading2Char"/>
          <w:rFonts w:ascii="Segoe UI" w:hAnsi="Segoe UI" w:cs="Segoe UI"/>
          <w:color w:val="auto"/>
          <w:sz w:val="24"/>
        </w:rPr>
      </w:pPr>
      <w:bookmarkStart w:id="7" w:name="_Toc3277333"/>
      <w:r w:rsidRPr="00A43C51">
        <w:rPr>
          <w:rStyle w:val="Heading2Char"/>
          <w:rFonts w:ascii="Segoe UI" w:hAnsi="Segoe UI" w:cs="Segoe UI"/>
          <w:color w:val="auto"/>
          <w:sz w:val="24"/>
        </w:rPr>
        <w:t>Variables</w:t>
      </w:r>
      <w:bookmarkEnd w:id="7"/>
    </w:p>
    <w:p w14:paraId="22E3746B" w14:textId="77777777" w:rsidR="008542D5" w:rsidRPr="00DE511A" w:rsidRDefault="002D764A" w:rsidP="00DE511A">
      <w:pPr>
        <w:pStyle w:val="ListParagraph"/>
        <w:numPr>
          <w:ilvl w:val="1"/>
          <w:numId w:val="1"/>
        </w:numPr>
        <w:rPr>
          <w:rStyle w:val="readonlydata9"/>
          <w:rFonts w:ascii="Segoe UI" w:hAnsi="Segoe UI" w:cs="Segoe UI"/>
        </w:rPr>
      </w:pPr>
      <w:r w:rsidRPr="00974B9F">
        <w:rPr>
          <w:rFonts w:ascii="Segoe UI" w:hAnsi="Segoe UI" w:cs="Segoe UI"/>
        </w:rPr>
        <w:t xml:space="preserve">You should list all variables used in your rate calculation and compare the list with the Statement of Variability from the corresponding form filing. For each variable in the Statement of Variability that establishes the benefit design of a policy </w:t>
      </w:r>
      <w:r w:rsidR="00974B9F" w:rsidRPr="00A43C51">
        <w:rPr>
          <w:rFonts w:ascii="Segoe UI" w:hAnsi="Segoe UI" w:cs="Segoe UI"/>
        </w:rPr>
        <w:t>(e.g.</w:t>
      </w:r>
      <w:r w:rsidR="00974B9F">
        <w:rPr>
          <w:rFonts w:ascii="Segoe UI" w:hAnsi="Segoe UI" w:cs="Segoe UI"/>
        </w:rPr>
        <w:t>,</w:t>
      </w:r>
      <w:r w:rsidR="00974B9F" w:rsidRPr="00A43C51">
        <w:rPr>
          <w:rFonts w:ascii="Segoe UI" w:hAnsi="Segoe UI" w:cs="Segoe UI"/>
        </w:rPr>
        <w:t xml:space="preserve"> </w:t>
      </w:r>
      <w:r w:rsidR="00974B9F">
        <w:rPr>
          <w:rFonts w:ascii="Segoe UI" w:hAnsi="Segoe UI" w:cs="Segoe UI"/>
        </w:rPr>
        <w:t xml:space="preserve">benefit amounts and limitations, </w:t>
      </w:r>
      <w:r w:rsidR="00974B9F" w:rsidRPr="00A43C51">
        <w:rPr>
          <w:rFonts w:ascii="Segoe UI" w:hAnsi="Segoe UI" w:cs="Segoe UI"/>
        </w:rPr>
        <w:t xml:space="preserve">riders, </w:t>
      </w:r>
      <w:r w:rsidR="00974B9F">
        <w:rPr>
          <w:rFonts w:ascii="Segoe UI" w:hAnsi="Segoe UI" w:cs="Segoe UI"/>
        </w:rPr>
        <w:t xml:space="preserve">and </w:t>
      </w:r>
      <w:r w:rsidR="00974B9F" w:rsidRPr="00A43C51">
        <w:rPr>
          <w:rFonts w:ascii="Segoe UI" w:hAnsi="Segoe UI" w:cs="Segoe UI"/>
        </w:rPr>
        <w:t>waiting periods) but is not specifically used in the rate manual, you should explain why the variable is not used in the rate manual.</w:t>
      </w:r>
    </w:p>
    <w:p w14:paraId="0AF6019E" w14:textId="77777777" w:rsidR="002D764A" w:rsidRPr="00A43C51" w:rsidRDefault="002D764A" w:rsidP="005A0D7C">
      <w:pPr>
        <w:pStyle w:val="ListParagraph"/>
        <w:numPr>
          <w:ilvl w:val="0"/>
          <w:numId w:val="1"/>
        </w:numPr>
        <w:rPr>
          <w:rStyle w:val="Heading2Char"/>
          <w:rFonts w:ascii="Segoe UI" w:hAnsi="Segoe UI" w:cs="Segoe UI"/>
          <w:color w:val="auto"/>
          <w:sz w:val="24"/>
        </w:rPr>
      </w:pPr>
      <w:bookmarkStart w:id="8" w:name="_Toc3277334"/>
      <w:r w:rsidRPr="00A43C51">
        <w:rPr>
          <w:rStyle w:val="Heading2Char"/>
          <w:rFonts w:ascii="Segoe UI" w:hAnsi="Segoe UI" w:cs="Segoe UI"/>
          <w:color w:val="auto"/>
          <w:sz w:val="24"/>
        </w:rPr>
        <w:t>Definitions</w:t>
      </w:r>
      <w:bookmarkEnd w:id="8"/>
    </w:p>
    <w:p w14:paraId="1AA8CE96" w14:textId="77777777" w:rsidR="002D764A" w:rsidRPr="00A43C51" w:rsidRDefault="002D764A" w:rsidP="005A0D7C">
      <w:pPr>
        <w:pStyle w:val="ListParagraph"/>
        <w:numPr>
          <w:ilvl w:val="1"/>
          <w:numId w:val="1"/>
        </w:numPr>
        <w:rPr>
          <w:rFonts w:ascii="Segoe UI" w:hAnsi="Segoe UI" w:cs="Segoe UI"/>
        </w:rPr>
      </w:pPr>
      <w:r w:rsidRPr="00A43C51">
        <w:rPr>
          <w:rFonts w:ascii="Segoe UI" w:hAnsi="Segoe UI" w:cs="Segoe UI"/>
        </w:rPr>
        <w:t>Include a list of definitions. The definitions used in the rate filing and form filing must be consistent and not violate Washington State law.</w:t>
      </w:r>
    </w:p>
    <w:p w14:paraId="590A0F35" w14:textId="77777777" w:rsidR="002D764A" w:rsidRPr="00A43C51" w:rsidRDefault="002D764A" w:rsidP="005A0D7C">
      <w:pPr>
        <w:pStyle w:val="ListParagraph"/>
        <w:numPr>
          <w:ilvl w:val="1"/>
          <w:numId w:val="1"/>
        </w:numPr>
        <w:rPr>
          <w:rFonts w:ascii="Segoe UI" w:hAnsi="Segoe UI" w:cs="Segoe UI"/>
        </w:rPr>
      </w:pPr>
      <w:r w:rsidRPr="00A43C51">
        <w:rPr>
          <w:rFonts w:ascii="Segoe UI" w:hAnsi="Segoe UI" w:cs="Segoe UI"/>
        </w:rPr>
        <w:t xml:space="preserve">Important definitions: </w:t>
      </w:r>
    </w:p>
    <w:p w14:paraId="71F63F5D" w14:textId="77777777" w:rsidR="002E495E" w:rsidRPr="00A43C51" w:rsidRDefault="002D764A" w:rsidP="005A0D7C">
      <w:pPr>
        <w:pStyle w:val="ListParagraph"/>
        <w:numPr>
          <w:ilvl w:val="2"/>
          <w:numId w:val="1"/>
        </w:numPr>
        <w:rPr>
          <w:rFonts w:ascii="Segoe UI" w:hAnsi="Segoe UI" w:cs="Segoe UI"/>
        </w:rPr>
      </w:pPr>
      <w:r w:rsidRPr="00A43C51">
        <w:rPr>
          <w:rFonts w:ascii="Segoe UI" w:hAnsi="Segoe UI" w:cs="Segoe UI"/>
        </w:rPr>
        <w:t>Premium: RCW 48.18.170</w:t>
      </w:r>
      <w:r w:rsidR="00DE1E11" w:rsidRPr="00A43C51">
        <w:rPr>
          <w:rFonts w:ascii="Segoe UI" w:hAnsi="Segoe UI" w:cs="Segoe UI"/>
        </w:rPr>
        <w:t xml:space="preserve">, </w:t>
      </w:r>
      <w:r w:rsidRPr="00A43C51">
        <w:rPr>
          <w:rFonts w:ascii="Segoe UI" w:hAnsi="Segoe UI" w:cs="Segoe UI"/>
        </w:rPr>
        <w:t>RCW 48.18.180</w:t>
      </w:r>
      <w:r w:rsidR="00DE1E11" w:rsidRPr="00A43C51">
        <w:rPr>
          <w:rFonts w:ascii="Segoe UI" w:hAnsi="Segoe UI" w:cs="Segoe UI"/>
        </w:rPr>
        <w:t xml:space="preserve">, and </w:t>
      </w:r>
      <w:r w:rsidR="009575DC" w:rsidRPr="00A43C51">
        <w:rPr>
          <w:rFonts w:ascii="Segoe UI" w:hAnsi="Segoe UI" w:cs="Segoe UI"/>
        </w:rPr>
        <w:t>RCW 48</w:t>
      </w:r>
      <w:r w:rsidR="00DE1E11" w:rsidRPr="00A43C51">
        <w:rPr>
          <w:rFonts w:ascii="Segoe UI" w:hAnsi="Segoe UI" w:cs="Segoe UI"/>
        </w:rPr>
        <w:t>.43.005</w:t>
      </w:r>
      <w:r w:rsidR="009575DC" w:rsidRPr="00A43C51">
        <w:rPr>
          <w:rFonts w:ascii="Segoe UI" w:hAnsi="Segoe UI" w:cs="Segoe UI"/>
        </w:rPr>
        <w:t>.</w:t>
      </w:r>
    </w:p>
    <w:p w14:paraId="0EE9CE32" w14:textId="77777777" w:rsidR="008542D5" w:rsidRPr="00A43C51" w:rsidRDefault="008542D5" w:rsidP="008542D5">
      <w:pPr>
        <w:pStyle w:val="ListParagraph"/>
        <w:ind w:left="2550"/>
        <w:rPr>
          <w:rFonts w:ascii="Segoe UI" w:hAnsi="Segoe UI" w:cs="Segoe UI"/>
        </w:rPr>
      </w:pPr>
    </w:p>
    <w:p w14:paraId="3A980DEF" w14:textId="77777777" w:rsidR="003602DD" w:rsidRPr="00A43C51" w:rsidRDefault="003602DD" w:rsidP="005A0D7C">
      <w:pPr>
        <w:pStyle w:val="ListParagraph"/>
        <w:numPr>
          <w:ilvl w:val="0"/>
          <w:numId w:val="1"/>
        </w:numPr>
        <w:rPr>
          <w:rStyle w:val="Heading2Char"/>
          <w:rFonts w:ascii="Segoe UI" w:hAnsi="Segoe UI" w:cs="Segoe UI"/>
          <w:color w:val="auto"/>
          <w:sz w:val="24"/>
        </w:rPr>
      </w:pPr>
      <w:bookmarkStart w:id="9" w:name="_Toc3277335"/>
      <w:r w:rsidRPr="00A43C51">
        <w:rPr>
          <w:rStyle w:val="Heading2Char"/>
          <w:rFonts w:ascii="Segoe UI" w:hAnsi="Segoe UI" w:cs="Segoe UI"/>
          <w:color w:val="auto"/>
          <w:sz w:val="24"/>
        </w:rPr>
        <w:t>Structure</w:t>
      </w:r>
      <w:bookmarkEnd w:id="9"/>
    </w:p>
    <w:p w14:paraId="765B6562" w14:textId="0849C85F" w:rsidR="003602DD" w:rsidRPr="00A43C51" w:rsidRDefault="003602DD" w:rsidP="005A0D7C">
      <w:pPr>
        <w:pStyle w:val="ListParagraph"/>
        <w:numPr>
          <w:ilvl w:val="1"/>
          <w:numId w:val="1"/>
        </w:numPr>
        <w:rPr>
          <w:rFonts w:ascii="Segoe UI" w:hAnsi="Segoe UI" w:cs="Segoe UI"/>
        </w:rPr>
      </w:pPr>
      <w:r w:rsidRPr="00A43C51">
        <w:rPr>
          <w:rFonts w:ascii="Segoe UI" w:hAnsi="Segoe UI" w:cs="Segoe UI"/>
        </w:rPr>
        <w:t>The structure should be logical</w:t>
      </w:r>
      <w:r w:rsidR="0029711E">
        <w:rPr>
          <w:rFonts w:ascii="Segoe UI" w:hAnsi="Segoe UI" w:cs="Segoe UI"/>
        </w:rPr>
        <w:t>, and appropriate sections and labels should be included such that, within a rate calculation, steps, rules, formulas, and factors can be easily referenced.</w:t>
      </w:r>
    </w:p>
    <w:p w14:paraId="2B4D5F75" w14:textId="77777777" w:rsidR="008542D5" w:rsidRPr="00A43C51" w:rsidRDefault="008542D5" w:rsidP="008542D5">
      <w:pPr>
        <w:pStyle w:val="ListParagraph"/>
        <w:ind w:left="1980"/>
        <w:rPr>
          <w:rFonts w:ascii="Segoe UI" w:hAnsi="Segoe UI" w:cs="Segoe UI"/>
        </w:rPr>
      </w:pPr>
    </w:p>
    <w:p w14:paraId="5253D2E9" w14:textId="77777777" w:rsidR="00693B09" w:rsidRPr="00A43C51" w:rsidRDefault="00C27AAF" w:rsidP="005A0D7C">
      <w:pPr>
        <w:pStyle w:val="ListParagraph"/>
        <w:numPr>
          <w:ilvl w:val="0"/>
          <w:numId w:val="1"/>
        </w:numPr>
        <w:rPr>
          <w:rStyle w:val="Heading2Char"/>
          <w:rFonts w:ascii="Segoe UI" w:hAnsi="Segoe UI" w:cs="Segoe UI"/>
          <w:color w:val="auto"/>
          <w:sz w:val="24"/>
        </w:rPr>
      </w:pPr>
      <w:bookmarkStart w:id="10" w:name="_Toc3277336"/>
      <w:r w:rsidRPr="00A43C51">
        <w:rPr>
          <w:rStyle w:val="Heading2Char"/>
          <w:rFonts w:ascii="Segoe UI" w:hAnsi="Segoe UI" w:cs="Segoe UI"/>
          <w:color w:val="auto"/>
          <w:sz w:val="24"/>
        </w:rPr>
        <w:t>Sample</w:t>
      </w:r>
      <w:r w:rsidR="00693B09" w:rsidRPr="00A43C51">
        <w:rPr>
          <w:rStyle w:val="Heading2Char"/>
          <w:rFonts w:ascii="Segoe UI" w:hAnsi="Segoe UI" w:cs="Segoe UI"/>
          <w:color w:val="auto"/>
          <w:sz w:val="24"/>
        </w:rPr>
        <w:t xml:space="preserve"> </w:t>
      </w:r>
      <w:r w:rsidR="00237182" w:rsidRPr="00A43C51">
        <w:rPr>
          <w:rStyle w:val="Heading2Char"/>
          <w:rFonts w:ascii="Segoe UI" w:hAnsi="Segoe UI" w:cs="Segoe UI"/>
          <w:color w:val="auto"/>
          <w:sz w:val="24"/>
        </w:rPr>
        <w:t xml:space="preserve">Rate </w:t>
      </w:r>
      <w:r w:rsidR="00693B09" w:rsidRPr="00A43C51">
        <w:rPr>
          <w:rStyle w:val="Heading2Char"/>
          <w:rFonts w:ascii="Segoe UI" w:hAnsi="Segoe UI" w:cs="Segoe UI"/>
          <w:color w:val="auto"/>
          <w:sz w:val="24"/>
        </w:rPr>
        <w:t>Calculation</w:t>
      </w:r>
      <w:bookmarkEnd w:id="10"/>
    </w:p>
    <w:p w14:paraId="74CF1274" w14:textId="77777777" w:rsidR="0031240F" w:rsidRPr="00A43C51" w:rsidRDefault="00755B45" w:rsidP="005A0D7C">
      <w:pPr>
        <w:pStyle w:val="ListParagraph"/>
        <w:numPr>
          <w:ilvl w:val="1"/>
          <w:numId w:val="1"/>
        </w:numPr>
        <w:rPr>
          <w:rFonts w:ascii="Segoe UI" w:hAnsi="Segoe UI" w:cs="Segoe UI"/>
        </w:rPr>
      </w:pPr>
      <w:r w:rsidRPr="00A43C51">
        <w:rPr>
          <w:rFonts w:ascii="Segoe UI" w:hAnsi="Segoe UI" w:cs="Segoe UI"/>
        </w:rPr>
        <w:t>Include an</w:t>
      </w:r>
      <w:r w:rsidR="00693B09" w:rsidRPr="00A43C51">
        <w:rPr>
          <w:rFonts w:ascii="Segoe UI" w:hAnsi="Segoe UI" w:cs="Segoe UI"/>
        </w:rPr>
        <w:t xml:space="preserve"> </w:t>
      </w:r>
      <w:r w:rsidR="00272256" w:rsidRPr="00A43C51">
        <w:rPr>
          <w:rFonts w:ascii="Segoe UI" w:hAnsi="Segoe UI" w:cs="Segoe UI"/>
        </w:rPr>
        <w:t xml:space="preserve">illustrative </w:t>
      </w:r>
      <w:r w:rsidR="00C27AAF" w:rsidRPr="00A43C51">
        <w:rPr>
          <w:rFonts w:ascii="Segoe UI" w:hAnsi="Segoe UI" w:cs="Segoe UI"/>
        </w:rPr>
        <w:t xml:space="preserve">rate calculation that </w:t>
      </w:r>
      <w:r w:rsidR="00E15C8A" w:rsidRPr="00A43C51">
        <w:rPr>
          <w:rFonts w:ascii="Segoe UI" w:hAnsi="Segoe UI" w:cs="Segoe UI"/>
        </w:rPr>
        <w:t>demonstrates the</w:t>
      </w:r>
      <w:r w:rsidR="00C27AAF" w:rsidRPr="00A43C51">
        <w:rPr>
          <w:rFonts w:ascii="Segoe UI" w:hAnsi="Segoe UI" w:cs="Segoe UI"/>
        </w:rPr>
        <w:t xml:space="preserve"> </w:t>
      </w:r>
      <w:r w:rsidR="00625906" w:rsidRPr="00A43C51">
        <w:rPr>
          <w:rFonts w:ascii="Segoe UI" w:hAnsi="Segoe UI" w:cs="Segoe UI"/>
        </w:rPr>
        <w:t>use</w:t>
      </w:r>
      <w:r w:rsidR="00C27AAF" w:rsidRPr="00A43C51">
        <w:rPr>
          <w:rFonts w:ascii="Segoe UI" w:hAnsi="Segoe UI" w:cs="Segoe UI"/>
        </w:rPr>
        <w:t xml:space="preserve"> of </w:t>
      </w:r>
      <w:r w:rsidR="003602DD" w:rsidRPr="00A43C51">
        <w:rPr>
          <w:rFonts w:ascii="Segoe UI" w:hAnsi="Segoe UI" w:cs="Segoe UI"/>
        </w:rPr>
        <w:t>your</w:t>
      </w:r>
      <w:r w:rsidR="00C27AAF" w:rsidRPr="00A43C51">
        <w:rPr>
          <w:rFonts w:ascii="Segoe UI" w:hAnsi="Segoe UI" w:cs="Segoe UI"/>
        </w:rPr>
        <w:t xml:space="preserve"> rate manual</w:t>
      </w:r>
      <w:r w:rsidR="00625906" w:rsidRPr="00A43C51">
        <w:rPr>
          <w:rFonts w:ascii="Segoe UI" w:hAnsi="Segoe UI" w:cs="Segoe UI"/>
        </w:rPr>
        <w:t xml:space="preserve">. </w:t>
      </w:r>
    </w:p>
    <w:p w14:paraId="4703D5DD" w14:textId="77777777" w:rsidR="00974B9F" w:rsidRDefault="00755B45" w:rsidP="00974B9F">
      <w:pPr>
        <w:pStyle w:val="ListParagraph"/>
        <w:numPr>
          <w:ilvl w:val="2"/>
          <w:numId w:val="1"/>
        </w:numPr>
        <w:rPr>
          <w:rFonts w:ascii="Segoe UI" w:hAnsi="Segoe UI" w:cs="Segoe UI"/>
        </w:rPr>
      </w:pPr>
      <w:r w:rsidRPr="00A43C51">
        <w:rPr>
          <w:rFonts w:ascii="Segoe UI" w:hAnsi="Segoe UI" w:cs="Segoe UI"/>
        </w:rPr>
        <w:t>The example should be as comprehensive as possible, sufficiently demonstrating all sections of the rate manual</w:t>
      </w:r>
      <w:r w:rsidR="0031240F" w:rsidRPr="00A43C51">
        <w:rPr>
          <w:rFonts w:ascii="Segoe UI" w:hAnsi="Segoe UI" w:cs="Segoe UI"/>
        </w:rPr>
        <w:t xml:space="preserve">. </w:t>
      </w:r>
    </w:p>
    <w:p w14:paraId="79306483" w14:textId="43043F74" w:rsidR="002E495E" w:rsidRPr="00974B9F" w:rsidRDefault="00974B9F" w:rsidP="00974B9F">
      <w:pPr>
        <w:pStyle w:val="ListParagraph"/>
        <w:numPr>
          <w:ilvl w:val="2"/>
          <w:numId w:val="1"/>
        </w:numPr>
        <w:rPr>
          <w:rFonts w:ascii="Segoe UI" w:hAnsi="Segoe UI" w:cs="Segoe UI"/>
        </w:rPr>
      </w:pPr>
      <w:r>
        <w:rPr>
          <w:rFonts w:ascii="Segoe UI" w:hAnsi="Segoe UI" w:cs="Segoe UI"/>
        </w:rPr>
        <w:t xml:space="preserve"> </w:t>
      </w:r>
      <w:r w:rsidR="00755B45" w:rsidRPr="00974B9F">
        <w:rPr>
          <w:rFonts w:ascii="Segoe UI" w:hAnsi="Segoe UI" w:cs="Segoe UI"/>
        </w:rPr>
        <w:t>B</w:t>
      </w:r>
      <w:r w:rsidR="00237182" w:rsidRPr="00974B9F">
        <w:rPr>
          <w:rFonts w:ascii="Segoe UI" w:hAnsi="Segoe UI" w:cs="Segoe UI"/>
        </w:rPr>
        <w:t>egin</w:t>
      </w:r>
      <w:r w:rsidR="00693B09" w:rsidRPr="00974B9F">
        <w:rPr>
          <w:rFonts w:ascii="Segoe UI" w:hAnsi="Segoe UI" w:cs="Segoe UI"/>
        </w:rPr>
        <w:t xml:space="preserve"> with the i</w:t>
      </w:r>
      <w:r w:rsidR="00B401DF" w:rsidRPr="00974B9F">
        <w:rPr>
          <w:rFonts w:ascii="Segoe UI" w:hAnsi="Segoe UI" w:cs="Segoe UI"/>
        </w:rPr>
        <w:t>nitial information</w:t>
      </w:r>
      <w:r w:rsidR="00693B09" w:rsidRPr="00974B9F">
        <w:rPr>
          <w:rFonts w:ascii="Segoe UI" w:hAnsi="Segoe UI" w:cs="Segoe UI"/>
        </w:rPr>
        <w:t xml:space="preserve"> about the policy and end with</w:t>
      </w:r>
      <w:r w:rsidR="00945F6D" w:rsidRPr="00974B9F">
        <w:rPr>
          <w:rFonts w:ascii="Segoe UI" w:hAnsi="Segoe UI" w:cs="Segoe UI"/>
        </w:rPr>
        <w:t xml:space="preserve"> the </w:t>
      </w:r>
      <w:r w:rsidR="0031240F" w:rsidRPr="00974B9F">
        <w:rPr>
          <w:rFonts w:ascii="Segoe UI" w:hAnsi="Segoe UI" w:cs="Segoe UI"/>
        </w:rPr>
        <w:t xml:space="preserve">total </w:t>
      </w:r>
      <w:r w:rsidR="00945F6D" w:rsidRPr="00974B9F">
        <w:rPr>
          <w:rFonts w:ascii="Segoe UI" w:hAnsi="Segoe UI" w:cs="Segoe UI"/>
        </w:rPr>
        <w:t xml:space="preserve">premium </w:t>
      </w:r>
      <w:r w:rsidR="00FC44B3" w:rsidRPr="00974B9F">
        <w:rPr>
          <w:rFonts w:ascii="Segoe UI" w:hAnsi="Segoe UI" w:cs="Segoe UI"/>
        </w:rPr>
        <w:t>charged</w:t>
      </w:r>
      <w:r w:rsidR="0031240F" w:rsidRPr="00974B9F">
        <w:rPr>
          <w:rFonts w:ascii="Segoe UI" w:hAnsi="Segoe UI" w:cs="Segoe UI"/>
        </w:rPr>
        <w:t xml:space="preserve"> </w:t>
      </w:r>
      <w:r w:rsidR="00945F6D" w:rsidRPr="00974B9F">
        <w:rPr>
          <w:rFonts w:ascii="Segoe UI" w:hAnsi="Segoe UI" w:cs="Segoe UI"/>
        </w:rPr>
        <w:t>(</w:t>
      </w:r>
      <w:r w:rsidR="00984357">
        <w:rPr>
          <w:rFonts w:ascii="Segoe UI" w:hAnsi="Segoe UI" w:cs="Segoe UI"/>
        </w:rPr>
        <w:t>s</w:t>
      </w:r>
      <w:r w:rsidR="00945F6D" w:rsidRPr="00974B9F">
        <w:rPr>
          <w:rFonts w:ascii="Segoe UI" w:hAnsi="Segoe UI" w:cs="Segoe UI"/>
        </w:rPr>
        <w:t>ee Definitions)</w:t>
      </w:r>
      <w:r w:rsidR="00693B09" w:rsidRPr="00974B9F">
        <w:rPr>
          <w:rFonts w:ascii="Segoe UI" w:hAnsi="Segoe UI" w:cs="Segoe UI"/>
        </w:rPr>
        <w:t>.</w:t>
      </w:r>
      <w:r w:rsidR="004B7E5C" w:rsidRPr="00974B9F">
        <w:rPr>
          <w:rFonts w:ascii="Segoe UI" w:hAnsi="Segoe UI" w:cs="Segoe UI"/>
        </w:rPr>
        <w:t xml:space="preserve"> </w:t>
      </w:r>
      <w:r w:rsidR="0031240F" w:rsidRPr="00974B9F">
        <w:rPr>
          <w:rFonts w:ascii="Segoe UI" w:hAnsi="Segoe UI" w:cs="Segoe UI"/>
        </w:rPr>
        <w:t xml:space="preserve">Use a tutorial structure, </w:t>
      </w:r>
      <w:r w:rsidR="004B7E5C" w:rsidRPr="00974B9F">
        <w:rPr>
          <w:rFonts w:ascii="Segoe UI" w:hAnsi="Segoe UI" w:cs="Segoe UI"/>
        </w:rPr>
        <w:t xml:space="preserve">breaking down the </w:t>
      </w:r>
      <w:r w:rsidR="00625906" w:rsidRPr="00974B9F">
        <w:rPr>
          <w:rFonts w:ascii="Segoe UI" w:hAnsi="Segoe UI" w:cs="Segoe UI"/>
        </w:rPr>
        <w:t>rate calculation</w:t>
      </w:r>
      <w:r w:rsidR="004B7E5C" w:rsidRPr="00974B9F">
        <w:rPr>
          <w:rFonts w:ascii="Segoe UI" w:hAnsi="Segoe UI" w:cs="Segoe UI"/>
        </w:rPr>
        <w:t xml:space="preserve"> into steps</w:t>
      </w:r>
      <w:r w:rsidR="0031240F" w:rsidRPr="00974B9F">
        <w:rPr>
          <w:rFonts w:ascii="Segoe UI" w:hAnsi="Segoe UI" w:cs="Segoe UI"/>
        </w:rPr>
        <w:t xml:space="preserve">. </w:t>
      </w:r>
      <w:r w:rsidR="00A06896" w:rsidRPr="00974B9F">
        <w:rPr>
          <w:rFonts w:ascii="Segoe UI" w:hAnsi="Segoe UI" w:cs="Segoe UI"/>
        </w:rPr>
        <w:t>The progression from step to step should be clear</w:t>
      </w:r>
      <w:r w:rsidR="0031240F" w:rsidRPr="00974B9F">
        <w:rPr>
          <w:rFonts w:ascii="Segoe UI" w:hAnsi="Segoe UI" w:cs="Segoe UI"/>
        </w:rPr>
        <w:t>. Explain e</w:t>
      </w:r>
      <w:r w:rsidR="0073515E" w:rsidRPr="00974B9F">
        <w:rPr>
          <w:rFonts w:ascii="Segoe UI" w:hAnsi="Segoe UI" w:cs="Segoe UI"/>
        </w:rPr>
        <w:t>ach st</w:t>
      </w:r>
      <w:r w:rsidR="00945F6D" w:rsidRPr="00974B9F">
        <w:rPr>
          <w:rFonts w:ascii="Segoe UI" w:hAnsi="Segoe UI" w:cs="Segoe UI"/>
        </w:rPr>
        <w:t>ep</w:t>
      </w:r>
      <w:r w:rsidR="008459F6" w:rsidRPr="00974B9F">
        <w:rPr>
          <w:rFonts w:ascii="Segoe UI" w:hAnsi="Segoe UI" w:cs="Segoe UI"/>
        </w:rPr>
        <w:t xml:space="preserve">, referencing the </w:t>
      </w:r>
      <w:r w:rsidR="008951F1" w:rsidRPr="00974B9F">
        <w:rPr>
          <w:rFonts w:ascii="Segoe UI" w:hAnsi="Segoe UI" w:cs="Segoe UI"/>
        </w:rPr>
        <w:t xml:space="preserve">specific section of the rate manual used </w:t>
      </w:r>
      <w:r w:rsidR="005C124D" w:rsidRPr="00974B9F">
        <w:rPr>
          <w:rFonts w:ascii="Segoe UI" w:hAnsi="Segoe UI" w:cs="Segoe UI"/>
        </w:rPr>
        <w:t xml:space="preserve">and any other information needed for </w:t>
      </w:r>
      <w:r w:rsidR="0073515E" w:rsidRPr="00974B9F">
        <w:rPr>
          <w:rFonts w:ascii="Segoe UI" w:hAnsi="Segoe UI" w:cs="Segoe UI"/>
        </w:rPr>
        <w:t>completion</w:t>
      </w:r>
      <w:r w:rsidR="005C124D" w:rsidRPr="00974B9F">
        <w:rPr>
          <w:rFonts w:ascii="Segoe UI" w:hAnsi="Segoe UI" w:cs="Segoe UI"/>
        </w:rPr>
        <w:t xml:space="preserve"> of the step</w:t>
      </w:r>
      <w:r w:rsidR="00A06896" w:rsidRPr="00974B9F">
        <w:rPr>
          <w:rFonts w:ascii="Segoe UI" w:hAnsi="Segoe UI" w:cs="Segoe UI"/>
        </w:rPr>
        <w:t>.</w:t>
      </w:r>
    </w:p>
    <w:p w14:paraId="508CDEA3" w14:textId="77777777" w:rsidR="008542D5" w:rsidRPr="00A43C51" w:rsidRDefault="008542D5" w:rsidP="008542D5">
      <w:pPr>
        <w:pStyle w:val="ListParagraph"/>
        <w:ind w:left="3270"/>
        <w:rPr>
          <w:rFonts w:ascii="Segoe UI" w:hAnsi="Segoe UI" w:cs="Segoe UI"/>
        </w:rPr>
      </w:pPr>
    </w:p>
    <w:p w14:paraId="47460688" w14:textId="77777777" w:rsidR="003602DD" w:rsidRPr="00A43C51" w:rsidRDefault="003602DD" w:rsidP="005A0D7C">
      <w:pPr>
        <w:pStyle w:val="ListParagraph"/>
        <w:numPr>
          <w:ilvl w:val="0"/>
          <w:numId w:val="1"/>
        </w:numPr>
        <w:rPr>
          <w:rStyle w:val="Heading2Char"/>
          <w:rFonts w:ascii="Segoe UI" w:hAnsi="Segoe UI" w:cs="Segoe UI"/>
          <w:color w:val="auto"/>
          <w:sz w:val="24"/>
        </w:rPr>
      </w:pPr>
      <w:bookmarkStart w:id="11" w:name="_Toc3277337"/>
      <w:r w:rsidRPr="00A43C51">
        <w:rPr>
          <w:rStyle w:val="Heading2Char"/>
          <w:rFonts w:ascii="Segoe UI" w:hAnsi="Segoe UI" w:cs="Segoe UI"/>
          <w:color w:val="auto"/>
          <w:sz w:val="24"/>
        </w:rPr>
        <w:t>Common Causes of Objections</w:t>
      </w:r>
      <w:bookmarkEnd w:id="11"/>
    </w:p>
    <w:p w14:paraId="647557C9" w14:textId="77777777" w:rsidR="007A3C35" w:rsidRPr="00A43C51" w:rsidRDefault="007A3C35" w:rsidP="007A3C35">
      <w:pPr>
        <w:pStyle w:val="ListParagraph"/>
        <w:numPr>
          <w:ilvl w:val="1"/>
          <w:numId w:val="1"/>
        </w:numPr>
        <w:rPr>
          <w:rFonts w:ascii="Segoe UI" w:hAnsi="Segoe UI" w:cs="Segoe UI"/>
        </w:rPr>
      </w:pPr>
      <w:r>
        <w:rPr>
          <w:rFonts w:ascii="Segoe UI" w:hAnsi="Segoe UI" w:cs="Segoe UI"/>
        </w:rPr>
        <w:t>Use of i</w:t>
      </w:r>
      <w:r w:rsidRPr="00A43C51">
        <w:rPr>
          <w:rFonts w:ascii="Segoe UI" w:hAnsi="Segoe UI" w:cs="Segoe UI"/>
        </w:rPr>
        <w:t xml:space="preserve">ndecisive or ambiguous language in rules, </w:t>
      </w:r>
      <w:r>
        <w:rPr>
          <w:rFonts w:ascii="Segoe UI" w:hAnsi="Segoe UI" w:cs="Segoe UI"/>
        </w:rPr>
        <w:t>such as</w:t>
      </w:r>
      <w:r w:rsidRPr="00A43C51">
        <w:rPr>
          <w:rFonts w:ascii="Segoe UI" w:hAnsi="Segoe UI" w:cs="Segoe UI"/>
        </w:rPr>
        <w:t xml:space="preserve"> using words like “can</w:t>
      </w:r>
      <w:r>
        <w:rPr>
          <w:rFonts w:ascii="Segoe UI" w:hAnsi="Segoe UI" w:cs="Segoe UI"/>
        </w:rPr>
        <w:t xml:space="preserve">,” </w:t>
      </w:r>
      <w:r w:rsidRPr="00A43C51">
        <w:rPr>
          <w:rFonts w:ascii="Segoe UI" w:hAnsi="Segoe UI" w:cs="Segoe UI"/>
        </w:rPr>
        <w:t>“could</w:t>
      </w:r>
      <w:r w:rsidR="00984357">
        <w:rPr>
          <w:rFonts w:ascii="Segoe UI" w:hAnsi="Segoe UI" w:cs="Segoe UI"/>
        </w:rPr>
        <w:t>,</w:t>
      </w:r>
      <w:r w:rsidRPr="00A43C51">
        <w:rPr>
          <w:rFonts w:ascii="Segoe UI" w:hAnsi="Segoe UI" w:cs="Segoe UI"/>
        </w:rPr>
        <w:t>” or “may</w:t>
      </w:r>
      <w:r>
        <w:rPr>
          <w:rFonts w:ascii="Segoe UI" w:hAnsi="Segoe UI" w:cs="Segoe UI"/>
        </w:rPr>
        <w:t>.</w:t>
      </w:r>
      <w:r w:rsidRPr="00A43C51">
        <w:rPr>
          <w:rFonts w:ascii="Segoe UI" w:hAnsi="Segoe UI" w:cs="Segoe UI"/>
        </w:rPr>
        <w:t>”</w:t>
      </w:r>
    </w:p>
    <w:p w14:paraId="04B5A5B2" w14:textId="77777777" w:rsidR="007A3C35" w:rsidRPr="00A43C51" w:rsidRDefault="007A3C35" w:rsidP="007A3C35">
      <w:pPr>
        <w:pStyle w:val="ListParagraph"/>
        <w:numPr>
          <w:ilvl w:val="1"/>
          <w:numId w:val="1"/>
        </w:numPr>
        <w:rPr>
          <w:rFonts w:ascii="Segoe UI" w:hAnsi="Segoe UI" w:cs="Segoe UI"/>
        </w:rPr>
      </w:pPr>
      <w:r w:rsidRPr="00A43C51">
        <w:rPr>
          <w:rFonts w:ascii="Segoe UI" w:hAnsi="Segoe UI" w:cs="Segoe UI"/>
        </w:rPr>
        <w:t xml:space="preserve">Results of steps in the rate calculation </w:t>
      </w:r>
      <w:r>
        <w:rPr>
          <w:rFonts w:ascii="Segoe UI" w:hAnsi="Segoe UI" w:cs="Segoe UI"/>
        </w:rPr>
        <w:t>being</w:t>
      </w:r>
      <w:r w:rsidRPr="00A43C51">
        <w:rPr>
          <w:rFonts w:ascii="Segoe UI" w:hAnsi="Segoe UI" w:cs="Segoe UI"/>
        </w:rPr>
        <w:t xml:space="preserve"> a range of possible values</w:t>
      </w:r>
      <w:r>
        <w:rPr>
          <w:rFonts w:ascii="Segoe UI" w:hAnsi="Segoe UI" w:cs="Segoe UI"/>
        </w:rPr>
        <w:t xml:space="preserve"> (i.e.</w:t>
      </w:r>
      <w:r w:rsidR="00984357">
        <w:rPr>
          <w:rFonts w:ascii="Segoe UI" w:hAnsi="Segoe UI" w:cs="Segoe UI"/>
        </w:rPr>
        <w:t>,</w:t>
      </w:r>
      <w:r>
        <w:rPr>
          <w:rFonts w:ascii="Segoe UI" w:hAnsi="Segoe UI" w:cs="Segoe UI"/>
        </w:rPr>
        <w:t xml:space="preserve"> </w:t>
      </w:r>
      <w:proofErr w:type="gramStart"/>
      <w:r>
        <w:rPr>
          <w:rFonts w:ascii="Segoe UI" w:hAnsi="Segoe UI" w:cs="Segoe UI"/>
        </w:rPr>
        <w:t>unclear</w:t>
      </w:r>
      <w:proofErr w:type="gramEnd"/>
      <w:r>
        <w:rPr>
          <w:rFonts w:ascii="Segoe UI" w:hAnsi="Segoe UI" w:cs="Segoe UI"/>
        </w:rPr>
        <w:t xml:space="preserve"> or ambiguous).</w:t>
      </w:r>
    </w:p>
    <w:p w14:paraId="47A251D0" w14:textId="77777777" w:rsidR="007A3C35" w:rsidRPr="00A43C51" w:rsidRDefault="007A3C35" w:rsidP="007A3C35">
      <w:pPr>
        <w:pStyle w:val="ListParagraph"/>
        <w:numPr>
          <w:ilvl w:val="1"/>
          <w:numId w:val="1"/>
        </w:numPr>
        <w:rPr>
          <w:rFonts w:ascii="Segoe UI" w:hAnsi="Segoe UI" w:cs="Segoe UI"/>
        </w:rPr>
      </w:pPr>
      <w:r w:rsidRPr="00A43C51">
        <w:rPr>
          <w:rFonts w:ascii="Segoe UI" w:hAnsi="Segoe UI" w:cs="Segoe UI"/>
        </w:rPr>
        <w:t>Values of rate calculation variable</w:t>
      </w:r>
      <w:r>
        <w:rPr>
          <w:rFonts w:ascii="Segoe UI" w:hAnsi="Segoe UI" w:cs="Segoe UI"/>
        </w:rPr>
        <w:t>s</w:t>
      </w:r>
      <w:r w:rsidRPr="00A43C51">
        <w:rPr>
          <w:rFonts w:ascii="Segoe UI" w:hAnsi="Segoe UI" w:cs="Segoe UI"/>
        </w:rPr>
        <w:t xml:space="preserve"> </w:t>
      </w:r>
      <w:r>
        <w:rPr>
          <w:rFonts w:ascii="Segoe UI" w:hAnsi="Segoe UI" w:cs="Segoe UI"/>
        </w:rPr>
        <w:t>being</w:t>
      </w:r>
      <w:r w:rsidRPr="00A43C51">
        <w:rPr>
          <w:rFonts w:ascii="Segoe UI" w:hAnsi="Segoe UI" w:cs="Segoe UI"/>
        </w:rPr>
        <w:t xml:space="preserve"> determined from sources other than the policy and group information</w:t>
      </w:r>
      <w:r>
        <w:rPr>
          <w:rFonts w:ascii="Segoe UI" w:hAnsi="Segoe UI" w:cs="Segoe UI"/>
        </w:rPr>
        <w:t>.</w:t>
      </w:r>
    </w:p>
    <w:p w14:paraId="39298296" w14:textId="319AADF2" w:rsidR="007A3C35" w:rsidRDefault="007A3C35" w:rsidP="007A3C35">
      <w:pPr>
        <w:pStyle w:val="ListParagraph"/>
        <w:numPr>
          <w:ilvl w:val="1"/>
          <w:numId w:val="1"/>
        </w:numPr>
        <w:rPr>
          <w:rFonts w:ascii="Segoe UI" w:hAnsi="Segoe UI" w:cs="Segoe UI"/>
        </w:rPr>
      </w:pPr>
      <w:r w:rsidRPr="00A43C51">
        <w:rPr>
          <w:rFonts w:ascii="Segoe UI" w:hAnsi="Segoe UI" w:cs="Segoe UI"/>
        </w:rPr>
        <w:t xml:space="preserve">Terms or acronyms used in the rate manual </w:t>
      </w:r>
      <w:r w:rsidR="002A3E57">
        <w:rPr>
          <w:rFonts w:ascii="Segoe UI" w:hAnsi="Segoe UI" w:cs="Segoe UI"/>
        </w:rPr>
        <w:t xml:space="preserve">not </w:t>
      </w:r>
      <w:r>
        <w:rPr>
          <w:rFonts w:ascii="Segoe UI" w:hAnsi="Segoe UI" w:cs="Segoe UI"/>
        </w:rPr>
        <w:t>being</w:t>
      </w:r>
      <w:r w:rsidRPr="00A43C51">
        <w:rPr>
          <w:rFonts w:ascii="Segoe UI" w:hAnsi="Segoe UI" w:cs="Segoe UI"/>
        </w:rPr>
        <w:t xml:space="preserve"> well defined</w:t>
      </w:r>
      <w:r w:rsidR="00DE511A">
        <w:rPr>
          <w:rFonts w:ascii="Segoe UI" w:hAnsi="Segoe UI" w:cs="Segoe UI"/>
        </w:rPr>
        <w:t>.</w:t>
      </w:r>
    </w:p>
    <w:p w14:paraId="08838F29" w14:textId="77777777" w:rsidR="003602DD" w:rsidRPr="00A43C51" w:rsidRDefault="003602DD" w:rsidP="007A3C35">
      <w:pPr>
        <w:pStyle w:val="ListParagraph"/>
        <w:numPr>
          <w:ilvl w:val="1"/>
          <w:numId w:val="1"/>
        </w:numPr>
        <w:rPr>
          <w:rFonts w:ascii="Segoe UI" w:hAnsi="Segoe UI" w:cs="Segoe UI"/>
        </w:rPr>
      </w:pPr>
      <w:r w:rsidRPr="00A43C51">
        <w:rPr>
          <w:rFonts w:ascii="Segoe UI" w:hAnsi="Segoe UI" w:cs="Segoe UI"/>
        </w:rPr>
        <w:t xml:space="preserve">Inconsistent use of terms </w:t>
      </w:r>
      <w:r w:rsidR="00FA4CDB" w:rsidRPr="00A43C51">
        <w:rPr>
          <w:rFonts w:ascii="Segoe UI" w:hAnsi="Segoe UI" w:cs="Segoe UI"/>
        </w:rPr>
        <w:t>in the rate and form filings</w:t>
      </w:r>
      <w:r w:rsidR="00DE511A">
        <w:rPr>
          <w:rFonts w:ascii="Segoe UI" w:hAnsi="Segoe UI" w:cs="Segoe UI"/>
        </w:rPr>
        <w:t>.</w:t>
      </w:r>
    </w:p>
    <w:p w14:paraId="3A17C321" w14:textId="77777777" w:rsidR="006131AB" w:rsidRPr="00A43C51" w:rsidRDefault="00096EAF" w:rsidP="005A0D7C">
      <w:pPr>
        <w:pStyle w:val="ListParagraph"/>
        <w:numPr>
          <w:ilvl w:val="1"/>
          <w:numId w:val="1"/>
        </w:numPr>
        <w:rPr>
          <w:rFonts w:ascii="Segoe UI" w:hAnsi="Segoe UI" w:cs="Segoe UI"/>
        </w:rPr>
      </w:pPr>
      <w:r w:rsidRPr="00A43C51">
        <w:rPr>
          <w:rFonts w:ascii="Segoe UI" w:hAnsi="Segoe UI" w:cs="Segoe UI"/>
        </w:rPr>
        <w:t xml:space="preserve">Benefit options </w:t>
      </w:r>
      <w:r w:rsidR="006131AB" w:rsidRPr="00A43C51">
        <w:rPr>
          <w:rFonts w:ascii="Segoe UI" w:hAnsi="Segoe UI" w:cs="Segoe UI"/>
        </w:rPr>
        <w:t>that differ between the rate and form filings</w:t>
      </w:r>
      <w:r w:rsidR="00DE511A">
        <w:rPr>
          <w:rFonts w:ascii="Segoe UI" w:hAnsi="Segoe UI" w:cs="Segoe UI"/>
        </w:rPr>
        <w:t>.</w:t>
      </w:r>
    </w:p>
    <w:p w14:paraId="3CA59B69" w14:textId="77777777" w:rsidR="003602DD" w:rsidRPr="00A43C51" w:rsidRDefault="003602DD" w:rsidP="005A0D7C">
      <w:pPr>
        <w:pStyle w:val="ListParagraph"/>
        <w:numPr>
          <w:ilvl w:val="1"/>
          <w:numId w:val="1"/>
        </w:numPr>
        <w:rPr>
          <w:rFonts w:ascii="Segoe UI" w:hAnsi="Segoe UI" w:cs="Segoe UI"/>
        </w:rPr>
      </w:pPr>
      <w:r w:rsidRPr="00A43C51">
        <w:rPr>
          <w:rFonts w:ascii="Segoe UI" w:hAnsi="Segoe UI" w:cs="Segoe UI"/>
        </w:rPr>
        <w:t>Not accurately or specifica</w:t>
      </w:r>
      <w:r w:rsidR="00FA4CDB" w:rsidRPr="00A43C51">
        <w:rPr>
          <w:rFonts w:ascii="Segoe UI" w:hAnsi="Segoe UI" w:cs="Segoe UI"/>
        </w:rPr>
        <w:t>lly referencing the rate manual</w:t>
      </w:r>
      <w:r w:rsidR="00DE511A">
        <w:rPr>
          <w:rFonts w:ascii="Segoe UI" w:hAnsi="Segoe UI" w:cs="Segoe UI"/>
        </w:rPr>
        <w:t>.</w:t>
      </w:r>
    </w:p>
    <w:p w14:paraId="3847DD7E" w14:textId="77777777" w:rsidR="003602DD" w:rsidRPr="00A43C51" w:rsidRDefault="003602DD" w:rsidP="005A0D7C">
      <w:pPr>
        <w:pStyle w:val="ListParagraph"/>
        <w:numPr>
          <w:ilvl w:val="1"/>
          <w:numId w:val="1"/>
        </w:numPr>
        <w:rPr>
          <w:rFonts w:ascii="Segoe UI" w:hAnsi="Segoe UI" w:cs="Segoe UI"/>
        </w:rPr>
      </w:pPr>
      <w:r w:rsidRPr="00A43C51">
        <w:rPr>
          <w:rFonts w:ascii="Segoe UI" w:hAnsi="Segoe UI" w:cs="Segoe UI"/>
        </w:rPr>
        <w:t>Not clearly stating the final premium charged</w:t>
      </w:r>
      <w:r w:rsidR="000642DA" w:rsidRPr="00A43C51">
        <w:rPr>
          <w:rFonts w:ascii="Segoe UI" w:hAnsi="Segoe UI" w:cs="Segoe UI"/>
        </w:rPr>
        <w:t>.</w:t>
      </w:r>
    </w:p>
    <w:p w14:paraId="3808F627" w14:textId="77777777" w:rsidR="008542D5" w:rsidRPr="00A43C51" w:rsidRDefault="008542D5" w:rsidP="008542D5">
      <w:pPr>
        <w:pStyle w:val="ListParagraph"/>
        <w:ind w:left="1980"/>
        <w:rPr>
          <w:rFonts w:ascii="Segoe UI" w:hAnsi="Segoe UI" w:cs="Segoe UI"/>
        </w:rPr>
      </w:pPr>
    </w:p>
    <w:p w14:paraId="4AD805AB" w14:textId="4E2D6410" w:rsidR="00E80F37" w:rsidRPr="00A43C51" w:rsidRDefault="00E80F37" w:rsidP="005A0D7C">
      <w:pPr>
        <w:pStyle w:val="ListParagraph"/>
        <w:numPr>
          <w:ilvl w:val="0"/>
          <w:numId w:val="1"/>
        </w:numPr>
        <w:rPr>
          <w:rStyle w:val="Heading2Char"/>
          <w:rFonts w:ascii="Segoe UI" w:hAnsi="Segoe UI" w:cs="Segoe UI"/>
          <w:color w:val="auto"/>
          <w:sz w:val="24"/>
        </w:rPr>
      </w:pPr>
      <w:bookmarkStart w:id="12" w:name="_Toc3277338"/>
      <w:r w:rsidRPr="00A43C51">
        <w:rPr>
          <w:rStyle w:val="Heading2Char"/>
          <w:rFonts w:ascii="Segoe UI" w:hAnsi="Segoe UI" w:cs="Segoe UI"/>
          <w:color w:val="auto"/>
          <w:sz w:val="24"/>
        </w:rPr>
        <w:t>Updat</w:t>
      </w:r>
      <w:r w:rsidR="00BA233B" w:rsidRPr="00A43C51">
        <w:rPr>
          <w:rStyle w:val="Heading2Char"/>
          <w:rFonts w:ascii="Segoe UI" w:hAnsi="Segoe UI" w:cs="Segoe UI"/>
          <w:color w:val="auto"/>
          <w:sz w:val="24"/>
        </w:rPr>
        <w:t>ing</w:t>
      </w:r>
      <w:r w:rsidR="003C79AA">
        <w:rPr>
          <w:rStyle w:val="Heading2Char"/>
          <w:rFonts w:ascii="Segoe UI" w:hAnsi="Segoe UI" w:cs="Segoe UI"/>
          <w:color w:val="auto"/>
          <w:sz w:val="24"/>
        </w:rPr>
        <w:t xml:space="preserve"> </w:t>
      </w:r>
      <w:r w:rsidR="00BA233B" w:rsidRPr="00A43C51">
        <w:rPr>
          <w:rStyle w:val="Heading2Char"/>
          <w:rFonts w:ascii="Segoe UI" w:hAnsi="Segoe UI" w:cs="Segoe UI"/>
          <w:color w:val="auto"/>
          <w:sz w:val="24"/>
        </w:rPr>
        <w:t xml:space="preserve">/ Amending </w:t>
      </w:r>
      <w:r w:rsidRPr="00A43C51">
        <w:rPr>
          <w:rStyle w:val="Heading2Char"/>
          <w:rFonts w:ascii="Segoe UI" w:hAnsi="Segoe UI" w:cs="Segoe UI"/>
          <w:color w:val="auto"/>
          <w:sz w:val="24"/>
        </w:rPr>
        <w:t>Existing Filing</w:t>
      </w:r>
      <w:r w:rsidR="00BA233B" w:rsidRPr="00A43C51">
        <w:rPr>
          <w:rStyle w:val="Heading2Char"/>
          <w:rFonts w:ascii="Segoe UI" w:hAnsi="Segoe UI" w:cs="Segoe UI"/>
          <w:color w:val="auto"/>
          <w:sz w:val="24"/>
        </w:rPr>
        <w:t>s</w:t>
      </w:r>
      <w:bookmarkEnd w:id="12"/>
    </w:p>
    <w:p w14:paraId="5C5E403E" w14:textId="77777777" w:rsidR="00E80F37" w:rsidRPr="00A43C51" w:rsidRDefault="00E80F37" w:rsidP="005A0D7C">
      <w:pPr>
        <w:pStyle w:val="ListParagraph"/>
        <w:numPr>
          <w:ilvl w:val="1"/>
          <w:numId w:val="1"/>
        </w:numPr>
        <w:rPr>
          <w:rFonts w:ascii="Segoe UI" w:hAnsi="Segoe UI" w:cs="Segoe UI"/>
        </w:rPr>
      </w:pPr>
      <w:r w:rsidRPr="00A43C51">
        <w:rPr>
          <w:rFonts w:ascii="Segoe UI" w:hAnsi="Segoe UI" w:cs="Segoe UI"/>
        </w:rPr>
        <w:t xml:space="preserve">Provide the SERFF tracking number of the previous </w:t>
      </w:r>
      <w:r w:rsidR="0015320B" w:rsidRPr="00A43C51">
        <w:rPr>
          <w:rFonts w:ascii="Segoe UI" w:hAnsi="Segoe UI" w:cs="Segoe UI"/>
        </w:rPr>
        <w:t xml:space="preserve">rate </w:t>
      </w:r>
      <w:r w:rsidRPr="00A43C51">
        <w:rPr>
          <w:rFonts w:ascii="Segoe UI" w:hAnsi="Segoe UI" w:cs="Segoe UI"/>
        </w:rPr>
        <w:t xml:space="preserve">filing </w:t>
      </w:r>
      <w:r w:rsidR="005A6A02" w:rsidRPr="00A43C51">
        <w:rPr>
          <w:rFonts w:ascii="Segoe UI" w:hAnsi="Segoe UI" w:cs="Segoe UI"/>
        </w:rPr>
        <w:t xml:space="preserve">that </w:t>
      </w:r>
      <w:r w:rsidRPr="00A43C51">
        <w:rPr>
          <w:rFonts w:ascii="Segoe UI" w:hAnsi="Segoe UI" w:cs="Segoe UI"/>
        </w:rPr>
        <w:t>you intend to update.</w:t>
      </w:r>
    </w:p>
    <w:p w14:paraId="26D38389" w14:textId="77777777" w:rsidR="00BA233B" w:rsidRPr="00A43C51" w:rsidRDefault="00BA233B" w:rsidP="005A0D7C">
      <w:pPr>
        <w:pStyle w:val="ListParagraph"/>
        <w:numPr>
          <w:ilvl w:val="2"/>
          <w:numId w:val="1"/>
        </w:numPr>
        <w:rPr>
          <w:rFonts w:ascii="Segoe UI" w:hAnsi="Segoe UI" w:cs="Segoe UI"/>
        </w:rPr>
      </w:pPr>
      <w:r w:rsidRPr="00A43C51">
        <w:rPr>
          <w:rFonts w:ascii="Segoe UI" w:hAnsi="Segoe UI" w:cs="Segoe UI"/>
        </w:rPr>
        <w:t>If the previo</w:t>
      </w:r>
      <w:r w:rsidR="00B52D0E" w:rsidRPr="00A43C51">
        <w:rPr>
          <w:rFonts w:ascii="Segoe UI" w:hAnsi="Segoe UI" w:cs="Segoe UI"/>
        </w:rPr>
        <w:t xml:space="preserve">us rate filing does not have a SERFF tracking number, you must </w:t>
      </w:r>
      <w:r w:rsidRPr="00A43C51">
        <w:rPr>
          <w:rFonts w:ascii="Segoe UI" w:hAnsi="Segoe UI" w:cs="Segoe UI"/>
        </w:rPr>
        <w:t>submit a complete rate manual.</w:t>
      </w:r>
    </w:p>
    <w:p w14:paraId="1B69DFA9" w14:textId="77777777" w:rsidR="0015320B" w:rsidRPr="00A43C51" w:rsidRDefault="0015320B" w:rsidP="005A0D7C">
      <w:pPr>
        <w:pStyle w:val="ListParagraph"/>
        <w:numPr>
          <w:ilvl w:val="1"/>
          <w:numId w:val="1"/>
        </w:numPr>
        <w:rPr>
          <w:rFonts w:ascii="Segoe UI" w:hAnsi="Segoe UI" w:cs="Segoe UI"/>
        </w:rPr>
      </w:pPr>
      <w:r w:rsidRPr="00A43C51">
        <w:rPr>
          <w:rFonts w:ascii="Segoe UI" w:hAnsi="Segoe UI" w:cs="Segoe UI"/>
        </w:rPr>
        <w:t>Provide the SERFF tracking number of the corresponding form filing.</w:t>
      </w:r>
    </w:p>
    <w:p w14:paraId="47B61569" w14:textId="77777777" w:rsidR="0015320B" w:rsidRPr="00A43C51" w:rsidRDefault="00272256" w:rsidP="005A0D7C">
      <w:pPr>
        <w:pStyle w:val="ListParagraph"/>
        <w:numPr>
          <w:ilvl w:val="1"/>
          <w:numId w:val="1"/>
        </w:numPr>
        <w:rPr>
          <w:rFonts w:ascii="Segoe UI" w:hAnsi="Segoe UI" w:cs="Segoe UI"/>
        </w:rPr>
      </w:pPr>
      <w:r w:rsidRPr="00A43C51">
        <w:rPr>
          <w:rFonts w:ascii="Segoe UI" w:hAnsi="Segoe UI" w:cs="Segoe UI"/>
        </w:rPr>
        <w:t>Provide an outline of changes</w:t>
      </w:r>
      <w:r w:rsidR="00261D3A" w:rsidRPr="00A43C51">
        <w:rPr>
          <w:rFonts w:ascii="Segoe UI" w:hAnsi="Segoe UI" w:cs="Segoe UI"/>
        </w:rPr>
        <w:t xml:space="preserve">. For each change, </w:t>
      </w:r>
      <w:r w:rsidR="0015320B" w:rsidRPr="00A43C51">
        <w:rPr>
          <w:rFonts w:ascii="Segoe UI" w:hAnsi="Segoe UI" w:cs="Segoe UI"/>
        </w:rPr>
        <w:t>list</w:t>
      </w:r>
      <w:r w:rsidR="002A3E57">
        <w:rPr>
          <w:rFonts w:ascii="Segoe UI" w:hAnsi="Segoe UI" w:cs="Segoe UI"/>
        </w:rPr>
        <w:t xml:space="preserve"> the following:</w:t>
      </w:r>
    </w:p>
    <w:p w14:paraId="2F602DC5" w14:textId="77777777" w:rsidR="0015320B" w:rsidRPr="00A43C51" w:rsidRDefault="0015320B" w:rsidP="005A0D7C">
      <w:pPr>
        <w:pStyle w:val="ListParagraph"/>
        <w:numPr>
          <w:ilvl w:val="2"/>
          <w:numId w:val="1"/>
        </w:numPr>
        <w:rPr>
          <w:rFonts w:ascii="Segoe UI" w:hAnsi="Segoe UI" w:cs="Segoe UI"/>
        </w:rPr>
      </w:pPr>
      <w:r w:rsidRPr="00A43C51">
        <w:rPr>
          <w:rFonts w:ascii="Segoe UI" w:hAnsi="Segoe UI" w:cs="Segoe UI"/>
        </w:rPr>
        <w:t>A</w:t>
      </w:r>
      <w:r w:rsidR="00A36D4B" w:rsidRPr="00A43C51">
        <w:rPr>
          <w:rFonts w:ascii="Segoe UI" w:hAnsi="Segoe UI" w:cs="Segoe UI"/>
        </w:rPr>
        <w:t xml:space="preserve"> </w:t>
      </w:r>
      <w:r w:rsidR="00261D3A" w:rsidRPr="00A43C51">
        <w:rPr>
          <w:rFonts w:ascii="Segoe UI" w:hAnsi="Segoe UI" w:cs="Segoe UI"/>
        </w:rPr>
        <w:t>descri</w:t>
      </w:r>
      <w:r w:rsidR="00A36D4B" w:rsidRPr="00A43C51">
        <w:rPr>
          <w:rFonts w:ascii="Segoe UI" w:hAnsi="Segoe UI" w:cs="Segoe UI"/>
        </w:rPr>
        <w:t>ption of the change</w:t>
      </w:r>
      <w:r w:rsidR="00DE511A">
        <w:rPr>
          <w:rFonts w:ascii="Segoe UI" w:hAnsi="Segoe UI" w:cs="Segoe UI"/>
        </w:rPr>
        <w:t>,</w:t>
      </w:r>
    </w:p>
    <w:p w14:paraId="17C8A321" w14:textId="77777777" w:rsidR="0015320B" w:rsidRPr="00A43C51" w:rsidRDefault="00AF1A64" w:rsidP="005A0D7C">
      <w:pPr>
        <w:pStyle w:val="ListParagraph"/>
        <w:numPr>
          <w:ilvl w:val="2"/>
          <w:numId w:val="1"/>
        </w:numPr>
        <w:rPr>
          <w:rFonts w:ascii="Segoe UI" w:hAnsi="Segoe UI" w:cs="Segoe UI"/>
        </w:rPr>
      </w:pPr>
      <w:r>
        <w:rPr>
          <w:rFonts w:ascii="Segoe UI" w:hAnsi="Segoe UI" w:cs="Segoe UI"/>
        </w:rPr>
        <w:t xml:space="preserve"> A </w:t>
      </w:r>
      <w:r w:rsidR="0015320B" w:rsidRPr="00A43C51">
        <w:rPr>
          <w:rFonts w:ascii="Segoe UI" w:hAnsi="Segoe UI" w:cs="Segoe UI"/>
        </w:rPr>
        <w:t>R</w:t>
      </w:r>
      <w:r w:rsidR="00A36D4B" w:rsidRPr="00A43C51">
        <w:rPr>
          <w:rFonts w:ascii="Segoe UI" w:hAnsi="Segoe UI" w:cs="Segoe UI"/>
        </w:rPr>
        <w:t xml:space="preserve">eason </w:t>
      </w:r>
      <w:r>
        <w:rPr>
          <w:rFonts w:ascii="Segoe UI" w:hAnsi="Segoe UI" w:cs="Segoe UI"/>
        </w:rPr>
        <w:t xml:space="preserve">or reasons </w:t>
      </w:r>
      <w:r w:rsidR="00A36D4B" w:rsidRPr="00A43C51">
        <w:rPr>
          <w:rFonts w:ascii="Segoe UI" w:hAnsi="Segoe UI" w:cs="Segoe UI"/>
        </w:rPr>
        <w:t>for the change</w:t>
      </w:r>
      <w:r w:rsidR="00DE511A">
        <w:rPr>
          <w:rFonts w:ascii="Segoe UI" w:hAnsi="Segoe UI" w:cs="Segoe UI"/>
        </w:rPr>
        <w:t>,</w:t>
      </w:r>
    </w:p>
    <w:p w14:paraId="0726E42F" w14:textId="77777777" w:rsidR="0015320B" w:rsidRPr="00A43C51" w:rsidRDefault="00AF1A64" w:rsidP="005A0D7C">
      <w:pPr>
        <w:pStyle w:val="ListParagraph"/>
        <w:numPr>
          <w:ilvl w:val="2"/>
          <w:numId w:val="1"/>
        </w:numPr>
        <w:rPr>
          <w:rFonts w:ascii="Segoe UI" w:hAnsi="Segoe UI" w:cs="Segoe UI"/>
        </w:rPr>
      </w:pPr>
      <w:r>
        <w:rPr>
          <w:rFonts w:ascii="Segoe UI" w:hAnsi="Segoe UI" w:cs="Segoe UI"/>
        </w:rPr>
        <w:t xml:space="preserve"> The e</w:t>
      </w:r>
      <w:r w:rsidR="00A36D4B" w:rsidRPr="00A43C51">
        <w:rPr>
          <w:rFonts w:ascii="Segoe UI" w:hAnsi="Segoe UI" w:cs="Segoe UI"/>
        </w:rPr>
        <w:t>ffective rate change</w:t>
      </w:r>
      <w:r w:rsidR="00DE511A">
        <w:rPr>
          <w:rFonts w:ascii="Segoe UI" w:hAnsi="Segoe UI" w:cs="Segoe UI"/>
        </w:rPr>
        <w:t>, and</w:t>
      </w:r>
    </w:p>
    <w:p w14:paraId="7A0CA594" w14:textId="5076C7DE" w:rsidR="002E495E" w:rsidRPr="00A43C51" w:rsidRDefault="00AF1A64" w:rsidP="005A0D7C">
      <w:pPr>
        <w:pStyle w:val="ListParagraph"/>
        <w:numPr>
          <w:ilvl w:val="2"/>
          <w:numId w:val="1"/>
        </w:numPr>
        <w:rPr>
          <w:rFonts w:ascii="Segoe UI" w:hAnsi="Segoe UI" w:cs="Segoe UI"/>
        </w:rPr>
      </w:pPr>
      <w:r>
        <w:rPr>
          <w:rFonts w:ascii="Segoe UI" w:hAnsi="Segoe UI" w:cs="Segoe UI"/>
        </w:rPr>
        <w:t>T</w:t>
      </w:r>
      <w:r w:rsidR="00261D3A" w:rsidRPr="00A43C51">
        <w:rPr>
          <w:rFonts w:ascii="Segoe UI" w:hAnsi="Segoe UI" w:cs="Segoe UI"/>
        </w:rPr>
        <w:t xml:space="preserve">he </w:t>
      </w:r>
      <w:r w:rsidR="002A3E57">
        <w:rPr>
          <w:rFonts w:ascii="Segoe UI" w:hAnsi="Segoe UI" w:cs="Segoe UI"/>
        </w:rPr>
        <w:t xml:space="preserve">affected </w:t>
      </w:r>
      <w:r w:rsidR="00721C01" w:rsidRPr="00A43C51">
        <w:rPr>
          <w:rFonts w:ascii="Segoe UI" w:hAnsi="Segoe UI" w:cs="Segoe UI"/>
        </w:rPr>
        <w:t xml:space="preserve">documents, </w:t>
      </w:r>
      <w:r w:rsidR="00261D3A" w:rsidRPr="00A43C51">
        <w:rPr>
          <w:rFonts w:ascii="Segoe UI" w:hAnsi="Segoe UI" w:cs="Segoe UI"/>
        </w:rPr>
        <w:t>pages</w:t>
      </w:r>
      <w:r w:rsidR="00AD1EF9">
        <w:rPr>
          <w:rFonts w:ascii="Segoe UI" w:hAnsi="Segoe UI" w:cs="Segoe UI"/>
        </w:rPr>
        <w:t>,</w:t>
      </w:r>
      <w:r w:rsidR="00261D3A" w:rsidRPr="00A43C51">
        <w:rPr>
          <w:rFonts w:ascii="Segoe UI" w:hAnsi="Segoe UI" w:cs="Segoe UI"/>
        </w:rPr>
        <w:t xml:space="preserve"> and sections </w:t>
      </w:r>
      <w:r w:rsidR="005873A3" w:rsidRPr="00A43C51">
        <w:rPr>
          <w:rFonts w:ascii="Segoe UI" w:hAnsi="Segoe UI" w:cs="Segoe UI"/>
        </w:rPr>
        <w:t>of the previous filing</w:t>
      </w:r>
      <w:r w:rsidR="00261D3A" w:rsidRPr="00A43C51">
        <w:rPr>
          <w:rFonts w:ascii="Segoe UI" w:hAnsi="Segoe UI" w:cs="Segoe UI"/>
        </w:rPr>
        <w:t>.</w:t>
      </w:r>
    </w:p>
    <w:p w14:paraId="52391C0C" w14:textId="77777777" w:rsidR="008542D5" w:rsidRPr="00A43C51" w:rsidRDefault="008542D5" w:rsidP="008542D5">
      <w:pPr>
        <w:pStyle w:val="ListParagraph"/>
        <w:ind w:left="2550"/>
        <w:rPr>
          <w:rFonts w:ascii="Segoe UI" w:hAnsi="Segoe UI" w:cs="Segoe UI"/>
        </w:rPr>
      </w:pPr>
    </w:p>
    <w:p w14:paraId="73F5C6CE" w14:textId="77777777" w:rsidR="00BA233B" w:rsidRPr="00A43C51" w:rsidRDefault="00BA233B" w:rsidP="005A0D7C">
      <w:pPr>
        <w:pStyle w:val="ListParagraph"/>
        <w:numPr>
          <w:ilvl w:val="0"/>
          <w:numId w:val="1"/>
        </w:numPr>
        <w:rPr>
          <w:rStyle w:val="Heading2Char"/>
          <w:rFonts w:ascii="Segoe UI" w:hAnsi="Segoe UI" w:cs="Segoe UI"/>
          <w:color w:val="auto"/>
          <w:sz w:val="24"/>
        </w:rPr>
      </w:pPr>
      <w:bookmarkStart w:id="13" w:name="_Toc3277339"/>
      <w:r w:rsidRPr="00A43C51">
        <w:rPr>
          <w:rStyle w:val="Heading2Char"/>
          <w:rFonts w:ascii="Segoe UI" w:hAnsi="Segoe UI" w:cs="Segoe UI"/>
          <w:color w:val="auto"/>
          <w:sz w:val="24"/>
        </w:rPr>
        <w:t>Excel Files</w:t>
      </w:r>
      <w:bookmarkEnd w:id="13"/>
    </w:p>
    <w:p w14:paraId="36D8D3DC" w14:textId="77777777" w:rsidR="004E2EAF" w:rsidRPr="00A43C51" w:rsidRDefault="004E2EAF" w:rsidP="005A0D7C">
      <w:pPr>
        <w:pStyle w:val="ListParagraph"/>
        <w:numPr>
          <w:ilvl w:val="1"/>
          <w:numId w:val="1"/>
        </w:numPr>
        <w:rPr>
          <w:rFonts w:ascii="Segoe UI" w:hAnsi="Segoe UI" w:cs="Segoe UI"/>
        </w:rPr>
      </w:pPr>
      <w:r w:rsidRPr="00A43C51">
        <w:rPr>
          <w:rFonts w:ascii="Segoe UI" w:hAnsi="Segoe UI" w:cs="Segoe UI"/>
        </w:rPr>
        <w:lastRenderedPageBreak/>
        <w:t>If you submit an Excel file in your filing, you must submit a PDF copy of the Excel file for public record purposes. The PDF copy must:</w:t>
      </w:r>
    </w:p>
    <w:p w14:paraId="37445EB0" w14:textId="77777777" w:rsidR="004E2EAF" w:rsidRPr="00A43C51" w:rsidRDefault="004E2EAF" w:rsidP="005A0D7C">
      <w:pPr>
        <w:pStyle w:val="ListParagraph"/>
        <w:numPr>
          <w:ilvl w:val="2"/>
          <w:numId w:val="1"/>
        </w:numPr>
        <w:rPr>
          <w:rFonts w:ascii="Segoe UI" w:hAnsi="Segoe UI" w:cs="Segoe UI"/>
        </w:rPr>
      </w:pPr>
      <w:r w:rsidRPr="00A43C51">
        <w:rPr>
          <w:rFonts w:ascii="Segoe UI" w:hAnsi="Segoe UI" w:cs="Segoe UI"/>
        </w:rPr>
        <w:t xml:space="preserve">Show </w:t>
      </w:r>
      <w:proofErr w:type="gramStart"/>
      <w:r w:rsidRPr="00A43C51">
        <w:rPr>
          <w:rFonts w:ascii="Segoe UI" w:hAnsi="Segoe UI" w:cs="Segoe UI"/>
        </w:rPr>
        <w:t>all of</w:t>
      </w:r>
      <w:proofErr w:type="gramEnd"/>
      <w:r w:rsidRPr="00A43C51">
        <w:rPr>
          <w:rFonts w:ascii="Segoe UI" w:hAnsi="Segoe UI" w:cs="Segoe UI"/>
        </w:rPr>
        <w:t xml:space="preserve"> the information in the Excel file, including any hidden worksheets.</w:t>
      </w:r>
    </w:p>
    <w:p w14:paraId="54F14F84" w14:textId="77777777" w:rsidR="004E2EAF" w:rsidRPr="00A43C51" w:rsidRDefault="004E2EAF" w:rsidP="005A0D7C">
      <w:pPr>
        <w:pStyle w:val="ListParagraph"/>
        <w:numPr>
          <w:ilvl w:val="2"/>
          <w:numId w:val="1"/>
        </w:numPr>
        <w:rPr>
          <w:rFonts w:ascii="Segoe UI" w:hAnsi="Segoe UI" w:cs="Segoe UI"/>
        </w:rPr>
      </w:pPr>
      <w:r w:rsidRPr="00A43C51">
        <w:rPr>
          <w:rFonts w:ascii="Segoe UI" w:hAnsi="Segoe UI" w:cs="Segoe UI"/>
        </w:rPr>
        <w:t>Include the Excel sheet name in the header of the PDF page</w:t>
      </w:r>
      <w:r w:rsidR="006758AE" w:rsidRPr="00A43C51">
        <w:rPr>
          <w:rFonts w:ascii="Segoe UI" w:hAnsi="Segoe UI" w:cs="Segoe UI"/>
        </w:rPr>
        <w:t>s</w:t>
      </w:r>
      <w:r w:rsidRPr="00A43C51">
        <w:rPr>
          <w:rFonts w:ascii="Segoe UI" w:hAnsi="Segoe UI" w:cs="Segoe UI"/>
        </w:rPr>
        <w:t>.</w:t>
      </w:r>
    </w:p>
    <w:p w14:paraId="48846307" w14:textId="77777777" w:rsidR="004E2EAF" w:rsidRPr="00A43C51" w:rsidRDefault="008610BB" w:rsidP="005A0D7C">
      <w:pPr>
        <w:pStyle w:val="ListParagraph"/>
        <w:numPr>
          <w:ilvl w:val="2"/>
          <w:numId w:val="1"/>
        </w:numPr>
        <w:rPr>
          <w:rFonts w:ascii="Segoe UI" w:hAnsi="Segoe UI" w:cs="Segoe UI"/>
        </w:rPr>
      </w:pPr>
      <w:r>
        <w:rPr>
          <w:rFonts w:ascii="Segoe UI" w:hAnsi="Segoe UI" w:cs="Segoe UI"/>
        </w:rPr>
        <w:t>Include</w:t>
      </w:r>
      <w:r w:rsidR="004E2EAF" w:rsidRPr="00A43C51">
        <w:rPr>
          <w:rFonts w:ascii="Segoe UI" w:hAnsi="Segoe UI" w:cs="Segoe UI"/>
        </w:rPr>
        <w:t xml:space="preserve"> </w:t>
      </w:r>
      <w:r>
        <w:rPr>
          <w:rFonts w:ascii="Segoe UI" w:hAnsi="Segoe UI" w:cs="Segoe UI"/>
        </w:rPr>
        <w:t xml:space="preserve">the </w:t>
      </w:r>
      <w:r w:rsidR="004E2EAF" w:rsidRPr="00A43C51">
        <w:rPr>
          <w:rFonts w:ascii="Segoe UI" w:hAnsi="Segoe UI" w:cs="Segoe UI"/>
        </w:rPr>
        <w:t>page number</w:t>
      </w:r>
      <w:r w:rsidR="006758AE" w:rsidRPr="00A43C51">
        <w:rPr>
          <w:rFonts w:ascii="Segoe UI" w:hAnsi="Segoe UI" w:cs="Segoe UI"/>
        </w:rPr>
        <w:t xml:space="preserve"> in the header or footer of the PDF pages</w:t>
      </w:r>
      <w:r w:rsidR="004E2EAF" w:rsidRPr="00A43C51">
        <w:rPr>
          <w:rFonts w:ascii="Segoe UI" w:hAnsi="Segoe UI" w:cs="Segoe UI"/>
        </w:rPr>
        <w:t>.</w:t>
      </w:r>
    </w:p>
    <w:p w14:paraId="19D7E8D9" w14:textId="19432354" w:rsidR="00E34609" w:rsidRPr="00A43C51" w:rsidRDefault="00BA233B" w:rsidP="005A0D7C">
      <w:pPr>
        <w:pStyle w:val="ListParagraph"/>
        <w:numPr>
          <w:ilvl w:val="1"/>
          <w:numId w:val="1"/>
        </w:numPr>
        <w:rPr>
          <w:rFonts w:ascii="Segoe UI" w:hAnsi="Segoe UI" w:cs="Segoe UI"/>
        </w:rPr>
      </w:pPr>
      <w:r w:rsidRPr="00A43C51">
        <w:rPr>
          <w:rFonts w:ascii="Segoe UI" w:hAnsi="Segoe UI" w:cs="Segoe UI"/>
        </w:rPr>
        <w:t xml:space="preserve">The names of the Excel and </w:t>
      </w:r>
      <w:r w:rsidR="00970C91" w:rsidRPr="00A43C51">
        <w:rPr>
          <w:rFonts w:ascii="Segoe UI" w:hAnsi="Segoe UI" w:cs="Segoe UI"/>
        </w:rPr>
        <w:t>PDF files should</w:t>
      </w:r>
      <w:r w:rsidRPr="00A43C51">
        <w:rPr>
          <w:rFonts w:ascii="Segoe UI" w:hAnsi="Segoe UI" w:cs="Segoe UI"/>
        </w:rPr>
        <w:t xml:space="preserve"> be the same</w:t>
      </w:r>
      <w:r w:rsidR="002A3E57">
        <w:rPr>
          <w:rFonts w:ascii="Segoe UI" w:hAnsi="Segoe UI" w:cs="Segoe UI"/>
        </w:rPr>
        <w:t>,</w:t>
      </w:r>
      <w:r w:rsidRPr="00A43C51">
        <w:rPr>
          <w:rFonts w:ascii="Segoe UI" w:hAnsi="Segoe UI" w:cs="Segoe UI"/>
        </w:rPr>
        <w:t xml:space="preserve"> except the Excel file </w:t>
      </w:r>
      <w:r w:rsidR="002A3E57">
        <w:rPr>
          <w:rFonts w:ascii="Segoe UI" w:hAnsi="Segoe UI" w:cs="Segoe UI"/>
        </w:rPr>
        <w:t xml:space="preserve">name </w:t>
      </w:r>
      <w:r w:rsidRPr="00A43C51">
        <w:rPr>
          <w:rFonts w:ascii="Segoe UI" w:hAnsi="Segoe UI" w:cs="Segoe UI"/>
        </w:rPr>
        <w:t>should include the word “</w:t>
      </w:r>
      <w:r w:rsidR="002A3E57">
        <w:rPr>
          <w:rFonts w:ascii="Segoe UI" w:hAnsi="Segoe UI" w:cs="Segoe UI"/>
        </w:rPr>
        <w:t>D</w:t>
      </w:r>
      <w:r w:rsidRPr="00A43C51">
        <w:rPr>
          <w:rFonts w:ascii="Segoe UI" w:hAnsi="Segoe UI" w:cs="Segoe UI"/>
        </w:rPr>
        <w:t>uplicate</w:t>
      </w:r>
      <w:r w:rsidR="002A3E57">
        <w:rPr>
          <w:rFonts w:ascii="Segoe UI" w:hAnsi="Segoe UI" w:cs="Segoe UI"/>
        </w:rPr>
        <w:t>” at the end.</w:t>
      </w:r>
    </w:p>
    <w:p w14:paraId="0B0C967D" w14:textId="77777777" w:rsidR="006131AB" w:rsidRPr="00A43C51" w:rsidRDefault="006131AB" w:rsidP="005A0D7C">
      <w:pPr>
        <w:pStyle w:val="ListParagraph"/>
        <w:numPr>
          <w:ilvl w:val="1"/>
          <w:numId w:val="1"/>
        </w:numPr>
        <w:rPr>
          <w:rFonts w:ascii="Segoe UI" w:hAnsi="Segoe UI" w:cs="Segoe UI"/>
        </w:rPr>
      </w:pPr>
      <w:r w:rsidRPr="00A43C51">
        <w:rPr>
          <w:rFonts w:ascii="Segoe UI" w:hAnsi="Segoe UI" w:cs="Segoe UI"/>
        </w:rPr>
        <w:t>The Excel</w:t>
      </w:r>
      <w:r w:rsidR="004E2EAF" w:rsidRPr="00A43C51">
        <w:rPr>
          <w:rFonts w:ascii="Segoe UI" w:hAnsi="Segoe UI" w:cs="Segoe UI"/>
        </w:rPr>
        <w:t xml:space="preserve"> file must include all formulas </w:t>
      </w:r>
      <w:r w:rsidRPr="00A43C51">
        <w:rPr>
          <w:rFonts w:ascii="Segoe UI" w:hAnsi="Segoe UI" w:cs="Segoe UI"/>
        </w:rPr>
        <w:t>and internal links.</w:t>
      </w:r>
    </w:p>
    <w:p w14:paraId="7CF60216" w14:textId="77777777" w:rsidR="008542D5" w:rsidRPr="00A43C51" w:rsidRDefault="008542D5" w:rsidP="008542D5">
      <w:pPr>
        <w:pStyle w:val="ListParagraph"/>
        <w:ind w:left="1980"/>
        <w:rPr>
          <w:rStyle w:val="Heading2Char"/>
          <w:rFonts w:ascii="Segoe UI" w:eastAsiaTheme="minorHAnsi" w:hAnsi="Segoe UI" w:cs="Segoe UI"/>
          <w:b w:val="0"/>
          <w:bCs w:val="0"/>
          <w:color w:val="auto"/>
          <w:sz w:val="22"/>
          <w:szCs w:val="22"/>
        </w:rPr>
      </w:pPr>
    </w:p>
    <w:p w14:paraId="04BB0D8B" w14:textId="77777777" w:rsidR="00BA233B" w:rsidRPr="00A43C51" w:rsidRDefault="002B7C90" w:rsidP="005A0D7C">
      <w:pPr>
        <w:pStyle w:val="ListParagraph"/>
        <w:numPr>
          <w:ilvl w:val="0"/>
          <w:numId w:val="1"/>
        </w:numPr>
        <w:rPr>
          <w:rStyle w:val="Heading2Char"/>
          <w:rFonts w:ascii="Segoe UI" w:hAnsi="Segoe UI" w:cs="Segoe UI"/>
          <w:color w:val="auto"/>
          <w:sz w:val="24"/>
        </w:rPr>
      </w:pPr>
      <w:bookmarkStart w:id="14" w:name="_Toc3277340"/>
      <w:r w:rsidRPr="00A43C51">
        <w:rPr>
          <w:rStyle w:val="Heading2Char"/>
          <w:rFonts w:ascii="Segoe UI" w:hAnsi="Segoe UI" w:cs="Segoe UI"/>
          <w:color w:val="auto"/>
          <w:sz w:val="24"/>
        </w:rPr>
        <w:t>Documents and Information</w:t>
      </w:r>
      <w:bookmarkEnd w:id="14"/>
    </w:p>
    <w:p w14:paraId="1703313D" w14:textId="77777777" w:rsidR="00D01BBD" w:rsidRPr="00A43C51" w:rsidRDefault="002B7C90" w:rsidP="005A0D7C">
      <w:pPr>
        <w:pStyle w:val="ListParagraph"/>
        <w:numPr>
          <w:ilvl w:val="1"/>
          <w:numId w:val="1"/>
        </w:numPr>
        <w:rPr>
          <w:rFonts w:ascii="Segoe UI" w:hAnsi="Segoe UI" w:cs="Segoe UI"/>
        </w:rPr>
      </w:pPr>
      <w:r w:rsidRPr="00A43C51">
        <w:rPr>
          <w:rFonts w:ascii="Segoe UI" w:hAnsi="Segoe UI" w:cs="Segoe UI"/>
        </w:rPr>
        <w:t xml:space="preserve">Except for the case when an Excel file is </w:t>
      </w:r>
      <w:r w:rsidR="00970C91" w:rsidRPr="00A43C51">
        <w:rPr>
          <w:rFonts w:ascii="Segoe UI" w:hAnsi="Segoe UI" w:cs="Segoe UI"/>
        </w:rPr>
        <w:t>included in the filing</w:t>
      </w:r>
      <w:r w:rsidR="00DB3C31" w:rsidRPr="00A43C51">
        <w:rPr>
          <w:rFonts w:ascii="Segoe UI" w:hAnsi="Segoe UI" w:cs="Segoe UI"/>
        </w:rPr>
        <w:t xml:space="preserve">, </w:t>
      </w:r>
      <w:r w:rsidR="0072712E" w:rsidRPr="00A43C51">
        <w:rPr>
          <w:rFonts w:ascii="Segoe UI" w:hAnsi="Segoe UI" w:cs="Segoe UI"/>
        </w:rPr>
        <w:t xml:space="preserve">submit </w:t>
      </w:r>
      <w:r w:rsidR="00DB3C31" w:rsidRPr="00A43C51">
        <w:rPr>
          <w:rFonts w:ascii="Segoe UI" w:hAnsi="Segoe UI" w:cs="Segoe UI"/>
        </w:rPr>
        <w:t>o</w:t>
      </w:r>
      <w:r w:rsidR="00D01BBD" w:rsidRPr="00A43C51">
        <w:rPr>
          <w:rFonts w:ascii="Segoe UI" w:hAnsi="Segoe UI" w:cs="Segoe UI"/>
        </w:rPr>
        <w:t>nly a single copy of each document.</w:t>
      </w:r>
    </w:p>
    <w:p w14:paraId="7084BD49" w14:textId="77777777" w:rsidR="001C1EF6" w:rsidRPr="00A43C51" w:rsidRDefault="0072712E" w:rsidP="005A0D7C">
      <w:pPr>
        <w:pStyle w:val="ListParagraph"/>
        <w:numPr>
          <w:ilvl w:val="1"/>
          <w:numId w:val="1"/>
        </w:numPr>
        <w:rPr>
          <w:rFonts w:ascii="Segoe UI" w:hAnsi="Segoe UI" w:cs="Segoe UI"/>
        </w:rPr>
      </w:pPr>
      <w:r w:rsidRPr="00A43C51">
        <w:rPr>
          <w:rFonts w:ascii="Segoe UI" w:hAnsi="Segoe UI" w:cs="Segoe UI"/>
        </w:rPr>
        <w:t>Information in t</w:t>
      </w:r>
      <w:r w:rsidR="00A20DC4" w:rsidRPr="00A43C51">
        <w:rPr>
          <w:rFonts w:ascii="Segoe UI" w:hAnsi="Segoe UI" w:cs="Segoe UI"/>
        </w:rPr>
        <w:t>he filing must be specific to Washington business</w:t>
      </w:r>
      <w:r w:rsidR="005A6A02" w:rsidRPr="00A43C51">
        <w:rPr>
          <w:rFonts w:ascii="Segoe UI" w:hAnsi="Segoe UI" w:cs="Segoe UI"/>
        </w:rPr>
        <w:t xml:space="preserve">. </w:t>
      </w:r>
      <w:r w:rsidR="0066552D" w:rsidRPr="00A43C51">
        <w:rPr>
          <w:rFonts w:ascii="Segoe UI" w:hAnsi="Segoe UI" w:cs="Segoe UI"/>
        </w:rPr>
        <w:t xml:space="preserve">Any sections </w:t>
      </w:r>
      <w:r w:rsidR="005C124D" w:rsidRPr="00A43C51">
        <w:rPr>
          <w:rFonts w:ascii="Segoe UI" w:hAnsi="Segoe UI" w:cs="Segoe UI"/>
        </w:rPr>
        <w:t xml:space="preserve">that are </w:t>
      </w:r>
      <w:r w:rsidR="0066552D" w:rsidRPr="00A43C51">
        <w:rPr>
          <w:rFonts w:ascii="Segoe UI" w:hAnsi="Segoe UI" w:cs="Segoe UI"/>
        </w:rPr>
        <w:t xml:space="preserve">not relevant to Washington State must </w:t>
      </w:r>
      <w:r w:rsidR="00DB3C31" w:rsidRPr="00A43C51">
        <w:rPr>
          <w:rFonts w:ascii="Segoe UI" w:hAnsi="Segoe UI" w:cs="Segoe UI"/>
        </w:rPr>
        <w:t>be removed from the filing</w:t>
      </w:r>
      <w:r w:rsidRPr="00A43C51">
        <w:rPr>
          <w:rFonts w:ascii="Segoe UI" w:hAnsi="Segoe UI" w:cs="Segoe UI"/>
        </w:rPr>
        <w:t xml:space="preserve">. </w:t>
      </w:r>
      <w:r w:rsidR="00A20DC4" w:rsidRPr="00A43C51">
        <w:rPr>
          <w:rFonts w:ascii="Segoe UI" w:hAnsi="Segoe UI" w:cs="Segoe UI"/>
        </w:rPr>
        <w:t>If those sections that are not applicable to Washington State cannot be removed</w:t>
      </w:r>
      <w:r w:rsidR="00972EEE" w:rsidRPr="00A43C51">
        <w:rPr>
          <w:rFonts w:ascii="Segoe UI" w:hAnsi="Segoe UI" w:cs="Segoe UI"/>
        </w:rPr>
        <w:t xml:space="preserve"> from the rate filing</w:t>
      </w:r>
      <w:r w:rsidR="00A20DC4" w:rsidRPr="00A43C51">
        <w:rPr>
          <w:rFonts w:ascii="Segoe UI" w:hAnsi="Segoe UI" w:cs="Segoe UI"/>
        </w:rPr>
        <w:t xml:space="preserve">, you must explain </w:t>
      </w:r>
      <w:r w:rsidRPr="00A43C51">
        <w:rPr>
          <w:rFonts w:ascii="Segoe UI" w:hAnsi="Segoe UI" w:cs="Segoe UI"/>
        </w:rPr>
        <w:t>why</w:t>
      </w:r>
      <w:r w:rsidR="00A20DC4" w:rsidRPr="00A43C51">
        <w:rPr>
          <w:rFonts w:ascii="Segoe UI" w:hAnsi="Segoe UI" w:cs="Segoe UI"/>
        </w:rPr>
        <w:t xml:space="preserve">, provide a summary of </w:t>
      </w:r>
      <w:r w:rsidR="008610BB">
        <w:rPr>
          <w:rFonts w:ascii="Segoe UI" w:hAnsi="Segoe UI" w:cs="Segoe UI"/>
        </w:rPr>
        <w:t xml:space="preserve">the </w:t>
      </w:r>
      <w:r w:rsidR="00A20DC4" w:rsidRPr="00A43C51">
        <w:rPr>
          <w:rFonts w:ascii="Segoe UI" w:hAnsi="Segoe UI" w:cs="Segoe UI"/>
        </w:rPr>
        <w:t>sectio</w:t>
      </w:r>
      <w:r w:rsidR="00F20CF2" w:rsidRPr="00A43C51">
        <w:rPr>
          <w:rFonts w:ascii="Segoe UI" w:hAnsi="Segoe UI" w:cs="Segoe UI"/>
        </w:rPr>
        <w:t>ns that are not applicable, and</w:t>
      </w:r>
      <w:r w:rsidR="00EF2AA9" w:rsidRPr="00A43C51">
        <w:rPr>
          <w:rFonts w:ascii="Segoe UI" w:hAnsi="Segoe UI" w:cs="Segoe UI"/>
        </w:rPr>
        <w:t xml:space="preserve"> </w:t>
      </w:r>
      <w:r w:rsidR="0066552D" w:rsidRPr="00A43C51">
        <w:rPr>
          <w:rFonts w:ascii="Segoe UI" w:hAnsi="Segoe UI" w:cs="Segoe UI"/>
        </w:rPr>
        <w:t xml:space="preserve">clearly indicate </w:t>
      </w:r>
      <w:r w:rsidR="00EF2AA9" w:rsidRPr="00A43C51">
        <w:rPr>
          <w:rFonts w:ascii="Segoe UI" w:hAnsi="Segoe UI" w:cs="Segoe UI"/>
        </w:rPr>
        <w:t>those sections that</w:t>
      </w:r>
      <w:r w:rsidR="0066552D" w:rsidRPr="00A43C51">
        <w:rPr>
          <w:rFonts w:ascii="Segoe UI" w:hAnsi="Segoe UI" w:cs="Segoe UI"/>
        </w:rPr>
        <w:t xml:space="preserve"> do not apply</w:t>
      </w:r>
      <w:r w:rsidR="005C124D" w:rsidRPr="00A43C51">
        <w:rPr>
          <w:rFonts w:ascii="Segoe UI" w:hAnsi="Segoe UI" w:cs="Segoe UI"/>
        </w:rPr>
        <w:t xml:space="preserve"> </w:t>
      </w:r>
      <w:r w:rsidR="00DB3C31" w:rsidRPr="00A43C51">
        <w:rPr>
          <w:rFonts w:ascii="Segoe UI" w:hAnsi="Segoe UI" w:cs="Segoe UI"/>
        </w:rPr>
        <w:t xml:space="preserve">to Washington business </w:t>
      </w:r>
      <w:r w:rsidR="005C124D" w:rsidRPr="00A43C51">
        <w:rPr>
          <w:rFonts w:ascii="Segoe UI" w:hAnsi="Segoe UI" w:cs="Segoe UI"/>
        </w:rPr>
        <w:t>at</w:t>
      </w:r>
      <w:r w:rsidR="0066552D" w:rsidRPr="00A43C51">
        <w:rPr>
          <w:rFonts w:ascii="Segoe UI" w:hAnsi="Segoe UI" w:cs="Segoe UI"/>
        </w:rPr>
        <w:t xml:space="preserve"> the beginning of </w:t>
      </w:r>
      <w:r w:rsidR="002A3E57">
        <w:rPr>
          <w:rFonts w:ascii="Segoe UI" w:hAnsi="Segoe UI" w:cs="Segoe UI"/>
        </w:rPr>
        <w:t xml:space="preserve">each </w:t>
      </w:r>
      <w:r w:rsidR="008610BB">
        <w:rPr>
          <w:rFonts w:ascii="Segoe UI" w:hAnsi="Segoe UI" w:cs="Segoe UI"/>
        </w:rPr>
        <w:t>such</w:t>
      </w:r>
      <w:r w:rsidR="00EF2AA9" w:rsidRPr="00A43C51">
        <w:rPr>
          <w:rFonts w:ascii="Segoe UI" w:hAnsi="Segoe UI" w:cs="Segoe UI"/>
        </w:rPr>
        <w:t xml:space="preserve"> </w:t>
      </w:r>
      <w:r w:rsidR="0015320B" w:rsidRPr="00A43C51">
        <w:rPr>
          <w:rFonts w:ascii="Segoe UI" w:hAnsi="Segoe UI" w:cs="Segoe UI"/>
        </w:rPr>
        <w:t>section.</w:t>
      </w:r>
    </w:p>
    <w:sectPr w:rsidR="001C1EF6" w:rsidRPr="00A43C51" w:rsidSect="00B85932">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94005" w14:textId="77777777" w:rsidR="00B51A30" w:rsidRDefault="00B51A30" w:rsidP="00242AA3">
      <w:pPr>
        <w:spacing w:after="0" w:line="240" w:lineRule="auto"/>
      </w:pPr>
      <w:r>
        <w:separator/>
      </w:r>
    </w:p>
  </w:endnote>
  <w:endnote w:type="continuationSeparator" w:id="0">
    <w:p w14:paraId="38804BD5" w14:textId="77777777" w:rsidR="00B51A30" w:rsidRDefault="00B51A30" w:rsidP="0024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57EB" w14:textId="045C93E9" w:rsidR="00F2681F" w:rsidRPr="00C1032A" w:rsidRDefault="00F2681F">
    <w:pPr>
      <w:pStyle w:val="Footer"/>
      <w:rPr>
        <w:sz w:val="18"/>
        <w:szCs w:val="16"/>
      </w:rPr>
    </w:pPr>
    <w:r w:rsidRPr="00C1032A">
      <w:rPr>
        <w:sz w:val="18"/>
        <w:szCs w:val="16"/>
      </w:rPr>
      <w:t xml:space="preserve">Large Group </w:t>
    </w:r>
    <w:r w:rsidR="00117453" w:rsidRPr="00C1032A">
      <w:rPr>
        <w:sz w:val="18"/>
        <w:szCs w:val="16"/>
      </w:rPr>
      <w:t xml:space="preserve">HDV </w:t>
    </w:r>
    <w:r w:rsidRPr="00C1032A">
      <w:rPr>
        <w:sz w:val="18"/>
        <w:szCs w:val="16"/>
      </w:rPr>
      <w:t>Rate Manual Guidance</w:t>
    </w:r>
    <w:r w:rsidRPr="00C1032A">
      <w:rPr>
        <w:sz w:val="18"/>
        <w:szCs w:val="16"/>
      </w:rPr>
      <w:tab/>
      <w:t xml:space="preserve">Page </w:t>
    </w:r>
    <w:r w:rsidRPr="00C1032A">
      <w:rPr>
        <w:bCs/>
        <w:sz w:val="18"/>
        <w:szCs w:val="16"/>
      </w:rPr>
      <w:fldChar w:fldCharType="begin"/>
    </w:r>
    <w:r w:rsidRPr="00C1032A">
      <w:rPr>
        <w:bCs/>
        <w:sz w:val="18"/>
        <w:szCs w:val="16"/>
      </w:rPr>
      <w:instrText xml:space="preserve"> PAGE  \* Arabic  \* MERGEFORMAT </w:instrText>
    </w:r>
    <w:r w:rsidRPr="00C1032A">
      <w:rPr>
        <w:bCs/>
        <w:sz w:val="18"/>
        <w:szCs w:val="16"/>
      </w:rPr>
      <w:fldChar w:fldCharType="separate"/>
    </w:r>
    <w:r w:rsidR="007F023B">
      <w:rPr>
        <w:bCs/>
        <w:noProof/>
        <w:sz w:val="18"/>
        <w:szCs w:val="16"/>
      </w:rPr>
      <w:t>3</w:t>
    </w:r>
    <w:r w:rsidRPr="00C1032A">
      <w:rPr>
        <w:bCs/>
        <w:sz w:val="18"/>
        <w:szCs w:val="16"/>
      </w:rPr>
      <w:fldChar w:fldCharType="end"/>
    </w:r>
    <w:r w:rsidRPr="00C1032A">
      <w:rPr>
        <w:sz w:val="18"/>
        <w:szCs w:val="16"/>
      </w:rPr>
      <w:t xml:space="preserve"> of </w:t>
    </w:r>
    <w:r w:rsidR="00DD417C">
      <w:rPr>
        <w:bCs/>
        <w:sz w:val="18"/>
        <w:szCs w:val="16"/>
      </w:rPr>
      <w:t>5</w:t>
    </w:r>
    <w:r w:rsidRPr="00C1032A">
      <w:rPr>
        <w:sz w:val="18"/>
        <w:szCs w:val="16"/>
      </w:rPr>
      <w:ptab w:relativeTo="margin" w:alignment="right" w:leader="none"/>
    </w:r>
    <w:r w:rsidR="001E04E4" w:rsidRPr="001E04E4">
      <w:rPr>
        <w:sz w:val="18"/>
        <w:szCs w:val="16"/>
      </w:rPr>
      <w:t>03/29/2024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65AB" w14:textId="759ABDF6" w:rsidR="002C3BAF" w:rsidRDefault="00B85932" w:rsidP="002C3BAF">
    <w:pPr>
      <w:pStyle w:val="Footer"/>
      <w:jc w:val="right"/>
    </w:pPr>
    <w:r>
      <w:ptab w:relativeTo="margin" w:alignment="center" w:leader="none"/>
    </w:r>
    <w:r w:rsidRPr="00C1032A">
      <w:rPr>
        <w:sz w:val="18"/>
      </w:rPr>
      <w:t xml:space="preserve">Page </w:t>
    </w:r>
    <w:r w:rsidRPr="00C1032A">
      <w:rPr>
        <w:bCs/>
        <w:sz w:val="18"/>
      </w:rPr>
      <w:fldChar w:fldCharType="begin"/>
    </w:r>
    <w:r w:rsidRPr="00C1032A">
      <w:rPr>
        <w:bCs/>
        <w:sz w:val="18"/>
      </w:rPr>
      <w:instrText xml:space="preserve"> PAGE  \* Arabic  \* MERGEFORMAT </w:instrText>
    </w:r>
    <w:r w:rsidRPr="00C1032A">
      <w:rPr>
        <w:bCs/>
        <w:sz w:val="18"/>
      </w:rPr>
      <w:fldChar w:fldCharType="separate"/>
    </w:r>
    <w:r w:rsidR="007F023B">
      <w:rPr>
        <w:bCs/>
        <w:noProof/>
        <w:sz w:val="18"/>
      </w:rPr>
      <w:t>1</w:t>
    </w:r>
    <w:r w:rsidRPr="00C1032A">
      <w:rPr>
        <w:bCs/>
        <w:sz w:val="18"/>
      </w:rPr>
      <w:fldChar w:fldCharType="end"/>
    </w:r>
    <w:r w:rsidRPr="00C1032A">
      <w:rPr>
        <w:sz w:val="18"/>
      </w:rPr>
      <w:t xml:space="preserve"> of </w:t>
    </w:r>
    <w:r w:rsidRPr="00C1032A">
      <w:rPr>
        <w:bCs/>
        <w:sz w:val="18"/>
      </w:rPr>
      <w:fldChar w:fldCharType="begin"/>
    </w:r>
    <w:r w:rsidRPr="00C1032A">
      <w:rPr>
        <w:bCs/>
        <w:sz w:val="18"/>
      </w:rPr>
      <w:instrText xml:space="preserve"> NUMPAGES  \* Arabic  \* MERGEFORMAT </w:instrText>
    </w:r>
    <w:r w:rsidRPr="00C1032A">
      <w:rPr>
        <w:bCs/>
        <w:sz w:val="18"/>
      </w:rPr>
      <w:fldChar w:fldCharType="separate"/>
    </w:r>
    <w:r w:rsidR="007F023B">
      <w:rPr>
        <w:bCs/>
        <w:noProof/>
        <w:sz w:val="18"/>
      </w:rPr>
      <w:t>5</w:t>
    </w:r>
    <w:r w:rsidRPr="00C1032A">
      <w:rPr>
        <w:bCs/>
        <w:sz w:val="18"/>
      </w:rPr>
      <w:fldChar w:fldCharType="end"/>
    </w:r>
    <w:r w:rsidRPr="00C1032A">
      <w:rPr>
        <w:sz w:val="18"/>
      </w:rPr>
      <w:ptab w:relativeTo="margin" w:alignment="right" w:leader="none"/>
    </w:r>
    <w:r w:rsidR="001E04E4" w:rsidRPr="001E04E4">
      <w:rPr>
        <w:sz w:val="18"/>
      </w:rPr>
      <w:t>03/29/2024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505B5" w14:textId="77777777" w:rsidR="00B51A30" w:rsidRDefault="00B51A30" w:rsidP="00242AA3">
      <w:pPr>
        <w:spacing w:after="0" w:line="240" w:lineRule="auto"/>
      </w:pPr>
      <w:r>
        <w:separator/>
      </w:r>
    </w:p>
  </w:footnote>
  <w:footnote w:type="continuationSeparator" w:id="0">
    <w:p w14:paraId="49619CA1" w14:textId="77777777" w:rsidR="00B51A30" w:rsidRDefault="00B51A30" w:rsidP="00242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CA6D" w14:textId="77777777" w:rsidR="00F2681F" w:rsidRPr="008D4ADF" w:rsidRDefault="00F2681F" w:rsidP="00B85932">
    <w:pPr>
      <w:contextualSpacing/>
    </w:pPr>
    <w:r w:rsidRPr="008D4ADF">
      <w:ptab w:relativeTo="margin" w:alignment="center" w:leader="none"/>
    </w:r>
    <w:r w:rsidRPr="008D4ADF">
      <w:t xml:space="preserve"> Washington State Office of the Insurance Commissioner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78D6" w14:textId="77777777" w:rsidR="005A0D7C" w:rsidRDefault="005A0D7C">
    <w:pPr>
      <w:pStyle w:val="Header"/>
    </w:pPr>
    <w:r>
      <w:rPr>
        <w:noProof/>
      </w:rPr>
      <w:drawing>
        <wp:inline distT="0" distB="0" distL="0" distR="0" wp14:anchorId="6916D5BD" wp14:editId="2C129B96">
          <wp:extent cx="5943600" cy="530860"/>
          <wp:effectExtent l="0" t="0" r="0" b="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43B21"/>
    <w:multiLevelType w:val="hybridMultilevel"/>
    <w:tmpl w:val="AC9A2294"/>
    <w:lvl w:ilvl="0" w:tplc="18E21F5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D0E8D6C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36207"/>
    <w:multiLevelType w:val="hybridMultilevel"/>
    <w:tmpl w:val="139C978E"/>
    <w:lvl w:ilvl="0" w:tplc="04090013">
      <w:start w:val="1"/>
      <w:numFmt w:val="upperRoman"/>
      <w:lvlText w:val="%1."/>
      <w:lvlJc w:val="right"/>
      <w:pPr>
        <w:ind w:left="390" w:hanging="360"/>
      </w:pPr>
      <w:rPr>
        <w:rFonts w:hint="default"/>
        <w:b/>
      </w:rPr>
    </w:lvl>
    <w:lvl w:ilvl="1" w:tplc="91D8918A">
      <w:start w:val="1"/>
      <w:numFmt w:val="upperLetter"/>
      <w:lvlText w:val="%2."/>
      <w:lvlJc w:val="left"/>
      <w:pPr>
        <w:ind w:left="1110" w:hanging="360"/>
      </w:pPr>
      <w:rPr>
        <w:b w:val="0"/>
        <w:sz w:val="24"/>
        <w:szCs w:val="24"/>
      </w:rPr>
    </w:lvl>
    <w:lvl w:ilvl="2" w:tplc="167E2A16">
      <w:start w:val="1"/>
      <w:numFmt w:val="decimal"/>
      <w:lvlText w:val="%3."/>
      <w:lvlJc w:val="left"/>
      <w:pPr>
        <w:ind w:left="1260" w:hanging="180"/>
      </w:pPr>
      <w:rPr>
        <w:b w:val="0"/>
        <w:sz w:val="22"/>
      </w:rPr>
    </w:lvl>
    <w:lvl w:ilvl="3" w:tplc="2B629F32">
      <w:start w:val="1"/>
      <w:numFmt w:val="lowerRoman"/>
      <w:lvlText w:val="%4."/>
      <w:lvlJc w:val="right"/>
      <w:pPr>
        <w:ind w:left="2550" w:hanging="360"/>
      </w:pPr>
      <w:rPr>
        <w:b w:val="0"/>
      </w:rPr>
    </w:lvl>
    <w:lvl w:ilvl="4" w:tplc="83DAA31C">
      <w:start w:val="1"/>
      <w:numFmt w:val="lowerLetter"/>
      <w:lvlText w:val="%5."/>
      <w:lvlJc w:val="left"/>
      <w:pPr>
        <w:ind w:left="3270" w:hanging="360"/>
      </w:pPr>
      <w:rPr>
        <w:b w:val="0"/>
      </w:rPr>
    </w:lvl>
    <w:lvl w:ilvl="5" w:tplc="0409001B">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16cid:durableId="1418281435">
    <w:abstractNumId w:val="1"/>
  </w:num>
  <w:num w:numId="2" w16cid:durableId="117954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B3"/>
    <w:rsid w:val="0000133F"/>
    <w:rsid w:val="00003688"/>
    <w:rsid w:val="0002318D"/>
    <w:rsid w:val="0003105C"/>
    <w:rsid w:val="00034014"/>
    <w:rsid w:val="000642DA"/>
    <w:rsid w:val="00085AAC"/>
    <w:rsid w:val="000956B0"/>
    <w:rsid w:val="00095B8C"/>
    <w:rsid w:val="00096EAF"/>
    <w:rsid w:val="000A7A5B"/>
    <w:rsid w:val="000B29A1"/>
    <w:rsid w:val="000B2B22"/>
    <w:rsid w:val="000B4C9E"/>
    <w:rsid w:val="000C4298"/>
    <w:rsid w:val="000D24DB"/>
    <w:rsid w:val="000D7B03"/>
    <w:rsid w:val="0010296B"/>
    <w:rsid w:val="00113E61"/>
    <w:rsid w:val="00117453"/>
    <w:rsid w:val="00131328"/>
    <w:rsid w:val="00141D51"/>
    <w:rsid w:val="0015320B"/>
    <w:rsid w:val="001713B1"/>
    <w:rsid w:val="001C09FE"/>
    <w:rsid w:val="001C1EF6"/>
    <w:rsid w:val="001D7C3E"/>
    <w:rsid w:val="001E04E4"/>
    <w:rsid w:val="001F34C9"/>
    <w:rsid w:val="00210885"/>
    <w:rsid w:val="002135CB"/>
    <w:rsid w:val="00232D21"/>
    <w:rsid w:val="002336E4"/>
    <w:rsid w:val="00234FB3"/>
    <w:rsid w:val="00237182"/>
    <w:rsid w:val="00242AA3"/>
    <w:rsid w:val="00257C28"/>
    <w:rsid w:val="00261D3A"/>
    <w:rsid w:val="00266B7F"/>
    <w:rsid w:val="00272256"/>
    <w:rsid w:val="00272FC4"/>
    <w:rsid w:val="00275B8B"/>
    <w:rsid w:val="00296E8F"/>
    <w:rsid w:val="0029711E"/>
    <w:rsid w:val="002A000E"/>
    <w:rsid w:val="002A1544"/>
    <w:rsid w:val="002A3E57"/>
    <w:rsid w:val="002B06C5"/>
    <w:rsid w:val="002B59FD"/>
    <w:rsid w:val="002B6715"/>
    <w:rsid w:val="002B7C90"/>
    <w:rsid w:val="002C3BAF"/>
    <w:rsid w:val="002D764A"/>
    <w:rsid w:val="002E1654"/>
    <w:rsid w:val="002E495E"/>
    <w:rsid w:val="002F3310"/>
    <w:rsid w:val="00305550"/>
    <w:rsid w:val="0031240F"/>
    <w:rsid w:val="00324F28"/>
    <w:rsid w:val="00325362"/>
    <w:rsid w:val="003401AA"/>
    <w:rsid w:val="00353D9A"/>
    <w:rsid w:val="003602DD"/>
    <w:rsid w:val="00371FC7"/>
    <w:rsid w:val="003816D6"/>
    <w:rsid w:val="00386288"/>
    <w:rsid w:val="003C6107"/>
    <w:rsid w:val="003C6B31"/>
    <w:rsid w:val="003C79AA"/>
    <w:rsid w:val="003D1366"/>
    <w:rsid w:val="003D18C0"/>
    <w:rsid w:val="003E3A12"/>
    <w:rsid w:val="003F1E78"/>
    <w:rsid w:val="00406F0E"/>
    <w:rsid w:val="0043052C"/>
    <w:rsid w:val="00440376"/>
    <w:rsid w:val="004415F2"/>
    <w:rsid w:val="00461C98"/>
    <w:rsid w:val="00463DCA"/>
    <w:rsid w:val="0048627C"/>
    <w:rsid w:val="00490655"/>
    <w:rsid w:val="00493670"/>
    <w:rsid w:val="004A2CB9"/>
    <w:rsid w:val="004A390E"/>
    <w:rsid w:val="004B394C"/>
    <w:rsid w:val="004B7E5C"/>
    <w:rsid w:val="004C5A9E"/>
    <w:rsid w:val="004D034F"/>
    <w:rsid w:val="004E2EAF"/>
    <w:rsid w:val="004E4013"/>
    <w:rsid w:val="004F1AFD"/>
    <w:rsid w:val="004F6EFC"/>
    <w:rsid w:val="0050580D"/>
    <w:rsid w:val="00516B48"/>
    <w:rsid w:val="005229BB"/>
    <w:rsid w:val="00554CDE"/>
    <w:rsid w:val="00555AA7"/>
    <w:rsid w:val="0058406A"/>
    <w:rsid w:val="005873A3"/>
    <w:rsid w:val="0059424F"/>
    <w:rsid w:val="005A0D7C"/>
    <w:rsid w:val="005A6A02"/>
    <w:rsid w:val="005B4D16"/>
    <w:rsid w:val="005C124D"/>
    <w:rsid w:val="005F32CE"/>
    <w:rsid w:val="005F4F20"/>
    <w:rsid w:val="006131AB"/>
    <w:rsid w:val="00621E3B"/>
    <w:rsid w:val="00625906"/>
    <w:rsid w:val="006272AD"/>
    <w:rsid w:val="0063018B"/>
    <w:rsid w:val="006448A8"/>
    <w:rsid w:val="0066552D"/>
    <w:rsid w:val="00670488"/>
    <w:rsid w:val="006758AE"/>
    <w:rsid w:val="006814DC"/>
    <w:rsid w:val="00693B09"/>
    <w:rsid w:val="006A4093"/>
    <w:rsid w:val="006B3A85"/>
    <w:rsid w:val="006E6EAC"/>
    <w:rsid w:val="00704494"/>
    <w:rsid w:val="00712AC5"/>
    <w:rsid w:val="00721C01"/>
    <w:rsid w:val="00726E7C"/>
    <w:rsid w:val="0072712E"/>
    <w:rsid w:val="0073276E"/>
    <w:rsid w:val="007337F2"/>
    <w:rsid w:val="0073515E"/>
    <w:rsid w:val="00755B45"/>
    <w:rsid w:val="007850A0"/>
    <w:rsid w:val="007904D3"/>
    <w:rsid w:val="00792E96"/>
    <w:rsid w:val="007932CF"/>
    <w:rsid w:val="007A3C35"/>
    <w:rsid w:val="007C404E"/>
    <w:rsid w:val="007D130C"/>
    <w:rsid w:val="007F023B"/>
    <w:rsid w:val="008006E2"/>
    <w:rsid w:val="008259F2"/>
    <w:rsid w:val="008321BA"/>
    <w:rsid w:val="0083423D"/>
    <w:rsid w:val="00844810"/>
    <w:rsid w:val="008459F6"/>
    <w:rsid w:val="0085305E"/>
    <w:rsid w:val="008542D5"/>
    <w:rsid w:val="008610BB"/>
    <w:rsid w:val="00864FF8"/>
    <w:rsid w:val="00875A2C"/>
    <w:rsid w:val="00876EFE"/>
    <w:rsid w:val="00886137"/>
    <w:rsid w:val="00886947"/>
    <w:rsid w:val="008923E3"/>
    <w:rsid w:val="008951F1"/>
    <w:rsid w:val="008A7B03"/>
    <w:rsid w:val="008B4493"/>
    <w:rsid w:val="008C51D2"/>
    <w:rsid w:val="008D2FCD"/>
    <w:rsid w:val="008D4ADF"/>
    <w:rsid w:val="008D75B7"/>
    <w:rsid w:val="008F0DF1"/>
    <w:rsid w:val="008F330C"/>
    <w:rsid w:val="0090615A"/>
    <w:rsid w:val="00927E7E"/>
    <w:rsid w:val="00945F6D"/>
    <w:rsid w:val="00954BDD"/>
    <w:rsid w:val="009575DC"/>
    <w:rsid w:val="00970C91"/>
    <w:rsid w:val="0097264A"/>
    <w:rsid w:val="00972EEE"/>
    <w:rsid w:val="00974B9F"/>
    <w:rsid w:val="00981F24"/>
    <w:rsid w:val="00981F50"/>
    <w:rsid w:val="00982827"/>
    <w:rsid w:val="00984357"/>
    <w:rsid w:val="009966B1"/>
    <w:rsid w:val="009A2C4E"/>
    <w:rsid w:val="009B3A7C"/>
    <w:rsid w:val="009C097A"/>
    <w:rsid w:val="009F2A8E"/>
    <w:rsid w:val="009F3112"/>
    <w:rsid w:val="00A06896"/>
    <w:rsid w:val="00A10E42"/>
    <w:rsid w:val="00A20DC4"/>
    <w:rsid w:val="00A359A8"/>
    <w:rsid w:val="00A36D4B"/>
    <w:rsid w:val="00A4127D"/>
    <w:rsid w:val="00A41738"/>
    <w:rsid w:val="00A43C51"/>
    <w:rsid w:val="00A53FF5"/>
    <w:rsid w:val="00A72DD2"/>
    <w:rsid w:val="00A8725A"/>
    <w:rsid w:val="00A973A3"/>
    <w:rsid w:val="00AA3248"/>
    <w:rsid w:val="00AD1EF9"/>
    <w:rsid w:val="00AE3883"/>
    <w:rsid w:val="00AF1A64"/>
    <w:rsid w:val="00AF5184"/>
    <w:rsid w:val="00AF78B7"/>
    <w:rsid w:val="00B3099B"/>
    <w:rsid w:val="00B36718"/>
    <w:rsid w:val="00B401DF"/>
    <w:rsid w:val="00B43CFF"/>
    <w:rsid w:val="00B51579"/>
    <w:rsid w:val="00B51A30"/>
    <w:rsid w:val="00B52D0E"/>
    <w:rsid w:val="00B63494"/>
    <w:rsid w:val="00B66DB5"/>
    <w:rsid w:val="00B84459"/>
    <w:rsid w:val="00B85932"/>
    <w:rsid w:val="00B97D65"/>
    <w:rsid w:val="00BA2186"/>
    <w:rsid w:val="00BA233B"/>
    <w:rsid w:val="00BB1803"/>
    <w:rsid w:val="00BC31E0"/>
    <w:rsid w:val="00BC532E"/>
    <w:rsid w:val="00BD3674"/>
    <w:rsid w:val="00BF3A1B"/>
    <w:rsid w:val="00BF3CC1"/>
    <w:rsid w:val="00BF415D"/>
    <w:rsid w:val="00C05BAB"/>
    <w:rsid w:val="00C1032A"/>
    <w:rsid w:val="00C23A7F"/>
    <w:rsid w:val="00C2479D"/>
    <w:rsid w:val="00C27AAF"/>
    <w:rsid w:val="00C31487"/>
    <w:rsid w:val="00C37D31"/>
    <w:rsid w:val="00C40410"/>
    <w:rsid w:val="00C50B6E"/>
    <w:rsid w:val="00C574C4"/>
    <w:rsid w:val="00C62877"/>
    <w:rsid w:val="00C835D6"/>
    <w:rsid w:val="00C86F85"/>
    <w:rsid w:val="00C9128A"/>
    <w:rsid w:val="00CB6C07"/>
    <w:rsid w:val="00CF4C46"/>
    <w:rsid w:val="00D01BBD"/>
    <w:rsid w:val="00D07780"/>
    <w:rsid w:val="00D12FBE"/>
    <w:rsid w:val="00D14ECA"/>
    <w:rsid w:val="00D22556"/>
    <w:rsid w:val="00D40011"/>
    <w:rsid w:val="00D40DFE"/>
    <w:rsid w:val="00D4596C"/>
    <w:rsid w:val="00D461CA"/>
    <w:rsid w:val="00D600A8"/>
    <w:rsid w:val="00D909A6"/>
    <w:rsid w:val="00DB2F70"/>
    <w:rsid w:val="00DB3C31"/>
    <w:rsid w:val="00DD21AA"/>
    <w:rsid w:val="00DD417C"/>
    <w:rsid w:val="00DD48F7"/>
    <w:rsid w:val="00DE1E11"/>
    <w:rsid w:val="00DE4AC6"/>
    <w:rsid w:val="00DE511A"/>
    <w:rsid w:val="00E15C8A"/>
    <w:rsid w:val="00E239CE"/>
    <w:rsid w:val="00E34609"/>
    <w:rsid w:val="00E5023B"/>
    <w:rsid w:val="00E5275C"/>
    <w:rsid w:val="00E607BF"/>
    <w:rsid w:val="00E74BE9"/>
    <w:rsid w:val="00E80F37"/>
    <w:rsid w:val="00E90986"/>
    <w:rsid w:val="00E93BF4"/>
    <w:rsid w:val="00EA6E8D"/>
    <w:rsid w:val="00EC4B74"/>
    <w:rsid w:val="00EC6B14"/>
    <w:rsid w:val="00ED2AD1"/>
    <w:rsid w:val="00ED3601"/>
    <w:rsid w:val="00ED6A6E"/>
    <w:rsid w:val="00EE393B"/>
    <w:rsid w:val="00EF060F"/>
    <w:rsid w:val="00EF0C4B"/>
    <w:rsid w:val="00EF2AA9"/>
    <w:rsid w:val="00F073D3"/>
    <w:rsid w:val="00F20CF2"/>
    <w:rsid w:val="00F22141"/>
    <w:rsid w:val="00F23983"/>
    <w:rsid w:val="00F2681F"/>
    <w:rsid w:val="00F465FD"/>
    <w:rsid w:val="00F53A1A"/>
    <w:rsid w:val="00F548B4"/>
    <w:rsid w:val="00F709B2"/>
    <w:rsid w:val="00F83D4F"/>
    <w:rsid w:val="00FA4CDB"/>
    <w:rsid w:val="00FB4CD4"/>
    <w:rsid w:val="00FB65D9"/>
    <w:rsid w:val="00FC44B3"/>
    <w:rsid w:val="00FD4BE2"/>
    <w:rsid w:val="00FE3B89"/>
    <w:rsid w:val="00FE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2E9D2"/>
  <w15:docId w15:val="{FE1D95E5-E5BE-40B3-A50B-71B56F36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4C9"/>
  </w:style>
  <w:style w:type="paragraph" w:styleId="Heading1">
    <w:name w:val="heading 1"/>
    <w:basedOn w:val="Normal"/>
    <w:next w:val="Normal"/>
    <w:link w:val="Heading1Char"/>
    <w:uiPriority w:val="9"/>
    <w:qFormat/>
    <w:rsid w:val="00785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39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DD2"/>
    <w:pPr>
      <w:ind w:left="720"/>
      <w:contextualSpacing/>
    </w:pPr>
  </w:style>
  <w:style w:type="paragraph" w:styleId="BalloonText">
    <w:name w:val="Balloon Text"/>
    <w:basedOn w:val="Normal"/>
    <w:link w:val="BalloonTextChar"/>
    <w:uiPriority w:val="99"/>
    <w:semiHidden/>
    <w:unhideWhenUsed/>
    <w:rsid w:val="00630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18B"/>
    <w:rPr>
      <w:rFonts w:ascii="Tahoma" w:hAnsi="Tahoma" w:cs="Tahoma"/>
      <w:sz w:val="16"/>
      <w:szCs w:val="16"/>
    </w:rPr>
  </w:style>
  <w:style w:type="table" w:styleId="TableGrid">
    <w:name w:val="Table Grid"/>
    <w:basedOn w:val="TableNormal"/>
    <w:uiPriority w:val="59"/>
    <w:rsid w:val="00CF4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59F2"/>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8259F2"/>
    <w:rPr>
      <w:b/>
    </w:rPr>
  </w:style>
  <w:style w:type="paragraph" w:styleId="Footer">
    <w:name w:val="footer"/>
    <w:basedOn w:val="Normal"/>
    <w:link w:val="FooterChar"/>
    <w:uiPriority w:val="99"/>
    <w:unhideWhenUsed/>
    <w:rsid w:val="00242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AA3"/>
  </w:style>
  <w:style w:type="character" w:customStyle="1" w:styleId="Heading1Char">
    <w:name w:val="Heading 1 Char"/>
    <w:basedOn w:val="DefaultParagraphFont"/>
    <w:link w:val="Heading1"/>
    <w:uiPriority w:val="9"/>
    <w:rsid w:val="007850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850A0"/>
    <w:pPr>
      <w:outlineLvl w:val="9"/>
    </w:pPr>
  </w:style>
  <w:style w:type="character" w:customStyle="1" w:styleId="Heading2Char">
    <w:name w:val="Heading 2 Char"/>
    <w:basedOn w:val="DefaultParagraphFont"/>
    <w:link w:val="Heading2"/>
    <w:uiPriority w:val="9"/>
    <w:rsid w:val="004B394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4B394C"/>
    <w:pPr>
      <w:spacing w:after="100"/>
    </w:pPr>
  </w:style>
  <w:style w:type="paragraph" w:styleId="TOC2">
    <w:name w:val="toc 2"/>
    <w:basedOn w:val="Normal"/>
    <w:next w:val="Normal"/>
    <w:autoRedefine/>
    <w:uiPriority w:val="39"/>
    <w:unhideWhenUsed/>
    <w:rsid w:val="002C3BAF"/>
    <w:pPr>
      <w:tabs>
        <w:tab w:val="left" w:pos="720"/>
        <w:tab w:val="right" w:leader="dot" w:pos="9350"/>
      </w:tabs>
      <w:spacing w:after="100"/>
      <w:ind w:left="220"/>
    </w:pPr>
  </w:style>
  <w:style w:type="character" w:styleId="Hyperlink">
    <w:name w:val="Hyperlink"/>
    <w:basedOn w:val="DefaultParagraphFont"/>
    <w:uiPriority w:val="99"/>
    <w:unhideWhenUsed/>
    <w:rsid w:val="004B394C"/>
    <w:rPr>
      <w:color w:val="0000FF" w:themeColor="hyperlink"/>
      <w:u w:val="single"/>
    </w:rPr>
  </w:style>
  <w:style w:type="character" w:customStyle="1" w:styleId="readonlydata9">
    <w:name w:val="readonlydata9"/>
    <w:basedOn w:val="DefaultParagraphFont"/>
    <w:rsid w:val="00034014"/>
  </w:style>
  <w:style w:type="character" w:styleId="CommentReference">
    <w:name w:val="annotation reference"/>
    <w:basedOn w:val="DefaultParagraphFont"/>
    <w:uiPriority w:val="99"/>
    <w:semiHidden/>
    <w:unhideWhenUsed/>
    <w:rsid w:val="0050580D"/>
    <w:rPr>
      <w:sz w:val="16"/>
      <w:szCs w:val="16"/>
    </w:rPr>
  </w:style>
  <w:style w:type="paragraph" w:styleId="CommentText">
    <w:name w:val="annotation text"/>
    <w:basedOn w:val="Normal"/>
    <w:link w:val="CommentTextChar"/>
    <w:uiPriority w:val="99"/>
    <w:semiHidden/>
    <w:unhideWhenUsed/>
    <w:rsid w:val="0050580D"/>
    <w:pPr>
      <w:spacing w:line="240" w:lineRule="auto"/>
    </w:pPr>
    <w:rPr>
      <w:sz w:val="20"/>
      <w:szCs w:val="20"/>
    </w:rPr>
  </w:style>
  <w:style w:type="character" w:customStyle="1" w:styleId="CommentTextChar">
    <w:name w:val="Comment Text Char"/>
    <w:basedOn w:val="DefaultParagraphFont"/>
    <w:link w:val="CommentText"/>
    <w:uiPriority w:val="99"/>
    <w:semiHidden/>
    <w:rsid w:val="0050580D"/>
    <w:rPr>
      <w:sz w:val="20"/>
      <w:szCs w:val="20"/>
    </w:rPr>
  </w:style>
  <w:style w:type="paragraph" w:styleId="CommentSubject">
    <w:name w:val="annotation subject"/>
    <w:basedOn w:val="CommentText"/>
    <w:next w:val="CommentText"/>
    <w:link w:val="CommentSubjectChar"/>
    <w:uiPriority w:val="99"/>
    <w:semiHidden/>
    <w:unhideWhenUsed/>
    <w:rsid w:val="0050580D"/>
    <w:rPr>
      <w:b/>
      <w:bCs/>
    </w:rPr>
  </w:style>
  <w:style w:type="character" w:customStyle="1" w:styleId="CommentSubjectChar">
    <w:name w:val="Comment Subject Char"/>
    <w:basedOn w:val="CommentTextChar"/>
    <w:link w:val="CommentSubject"/>
    <w:uiPriority w:val="99"/>
    <w:semiHidden/>
    <w:rsid w:val="0050580D"/>
    <w:rPr>
      <w:b/>
      <w:bCs/>
      <w:sz w:val="20"/>
      <w:szCs w:val="20"/>
    </w:rPr>
  </w:style>
  <w:style w:type="paragraph" w:styleId="Title">
    <w:name w:val="Title"/>
    <w:basedOn w:val="Normal"/>
    <w:next w:val="Normal"/>
    <w:link w:val="TitleChar"/>
    <w:uiPriority w:val="10"/>
    <w:qFormat/>
    <w:rsid w:val="005A0D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D7C"/>
    <w:rPr>
      <w:rFonts w:asciiTheme="majorHAnsi" w:eastAsiaTheme="majorEastAsia" w:hAnsiTheme="majorHAnsi" w:cstheme="majorBidi"/>
      <w:spacing w:val="-10"/>
      <w:kern w:val="28"/>
      <w:sz w:val="56"/>
      <w:szCs w:val="56"/>
    </w:rPr>
  </w:style>
  <w:style w:type="paragraph" w:styleId="Revision">
    <w:name w:val="Revision"/>
    <w:hidden/>
    <w:uiPriority w:val="99"/>
    <w:semiHidden/>
    <w:rsid w:val="00A417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1318CD-B5CC-4784-BD62-86DE672E4D95}"/>
</file>

<file path=customXml/itemProps2.xml><?xml version="1.0" encoding="utf-8"?>
<ds:datastoreItem xmlns:ds="http://schemas.openxmlformats.org/officeDocument/2006/customXml" ds:itemID="{88ADF1F2-C8A3-468D-8F74-1A585083CB00}">
  <ds:schemaRefs>
    <ds:schemaRef ds:uri="http://schemas.microsoft.com/office/2006/metadata/properties"/>
    <ds:schemaRef ds:uri="http://schemas.microsoft.com/office/infopath/2007/PartnerControls"/>
    <ds:schemaRef ds:uri="http://schemas.microsoft.com/sharepoint/v3"/>
    <ds:schemaRef ds:uri="bade567d-aaa0-4c25-b66c-107a86b94e0e"/>
    <ds:schemaRef ds:uri="ac9957ec-0e1b-4d3a-a814-8fbf9edb18db"/>
  </ds:schemaRefs>
</ds:datastoreItem>
</file>

<file path=customXml/itemProps3.xml><?xml version="1.0" encoding="utf-8"?>
<ds:datastoreItem xmlns:ds="http://schemas.openxmlformats.org/officeDocument/2006/customXml" ds:itemID="{F2CC3568-566A-4F35-BEF7-9D7C1550FC3A}">
  <ds:schemaRefs>
    <ds:schemaRef ds:uri="http://schemas.openxmlformats.org/officeDocument/2006/bibliography"/>
  </ds:schemaRefs>
</ds:datastoreItem>
</file>

<file path=customXml/itemProps4.xml><?xml version="1.0" encoding="utf-8"?>
<ds:datastoreItem xmlns:ds="http://schemas.openxmlformats.org/officeDocument/2006/customXml" ds:itemID="{82C87E91-CED8-465D-A848-417BC03B16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Large Group Health, Dental Only, and Vision only Rate Manual Guidance</vt:lpstr>
    </vt:vector>
  </TitlesOfParts>
  <Company>Office of the Insurance Commissioner</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Group Health, Dental Only, and Vision only Rate Manual Guidance</dc:title>
  <dc:subject>Large Group Health, Dental and Vision STM</dc:subject>
  <dc:creator>WA OIC Rates and Forms</dc:creator>
  <cp:keywords>Large Group, STM</cp:keywords>
  <cp:lastModifiedBy>Odi, Ray (OIC)</cp:lastModifiedBy>
  <cp:revision>11</cp:revision>
  <cp:lastPrinted>2014-12-29T18:03:00Z</cp:lastPrinted>
  <dcterms:created xsi:type="dcterms:W3CDTF">2022-02-09T21:48:00Z</dcterms:created>
  <dcterms:modified xsi:type="dcterms:W3CDTF">2024-03-27T15:53:00Z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