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0C01D601"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bookmarkStart w:id="0" w:name="_Hlk155618204"/>
      <w:r>
        <w:rPr>
          <w:rFonts w:cs="Segoe UI"/>
          <w:szCs w:val="22"/>
        </w:rPr>
        <w:t xml:space="preserve">Speed to Market Tools for </w:t>
      </w:r>
      <w:r w:rsidR="006A7BC3">
        <w:rPr>
          <w:rFonts w:cs="Segoe UI"/>
          <w:szCs w:val="22"/>
        </w:rPr>
        <w:t>Long Term Care</w:t>
      </w:r>
      <w:r w:rsidRPr="004A2033">
        <w:rPr>
          <w:rFonts w:cs="Segoe UI"/>
          <w:szCs w:val="22"/>
        </w:rPr>
        <w:t xml:space="preserve"> Rate Filings</w:t>
      </w:r>
    </w:p>
    <w:bookmarkEnd w:id="0"/>
    <w:p w14:paraId="3E880820" w14:textId="77777777" w:rsidR="00AD1383" w:rsidRPr="004A2033" w:rsidRDefault="00AD1383" w:rsidP="00AD1383">
      <w:pPr>
        <w:rPr>
          <w:rFonts w:ascii="Segoe UI" w:hAnsi="Segoe UI" w:cs="Segoe UI"/>
        </w:rPr>
      </w:pPr>
      <w:r w:rsidRPr="00E448AD">
        <w:rPr>
          <w:rFonts w:ascii="Segoe UI" w:hAnsi="Segoe UI" w:cs="Segoe UI"/>
          <w:b/>
        </w:rPr>
        <w:t>Purpose:</w:t>
      </w:r>
      <w:r w:rsidRPr="00E448AD">
        <w:rPr>
          <w:rFonts w:ascii="Segoe UI" w:hAnsi="Segoe UI" w:cs="Segoe UI"/>
        </w:rPr>
        <w:t xml:space="preserve"> Speed to Market </w:t>
      </w:r>
      <w:r>
        <w:rPr>
          <w:rFonts w:ascii="Segoe UI" w:hAnsi="Segoe UI" w:cs="Segoe UI"/>
        </w:rPr>
        <w:t xml:space="preserve">(STM) </w:t>
      </w:r>
      <w:r w:rsidRPr="00E448AD">
        <w:rPr>
          <w:rFonts w:ascii="Segoe UI" w:hAnsi="Segoe UI" w:cs="Segoe UI"/>
        </w:rPr>
        <w:t>Tools provide guidance for preparing a filing. Although using the information in this document does not guarantee that your filing will be approved, it will expedite the review of your filing</w:t>
      </w:r>
      <w:r>
        <w:rPr>
          <w:rFonts w:ascii="Segoe UI" w:hAnsi="Segoe UI" w:cs="Segoe UI"/>
        </w:rPr>
        <w:t>.</w:t>
      </w:r>
    </w:p>
    <w:p w14:paraId="2D10BA30" w14:textId="77777777" w:rsidR="00AD1383" w:rsidRDefault="00AD1383" w:rsidP="00AD1383">
      <w:pPr>
        <w:rPr>
          <w:rFonts w:ascii="Segoe UI" w:hAnsi="Segoe UI" w:cs="Segoe UI"/>
          <w:b/>
        </w:rPr>
      </w:pPr>
    </w:p>
    <w:p w14:paraId="03AC9B8E" w14:textId="77777777" w:rsidR="00AD1383" w:rsidRPr="00773A96" w:rsidRDefault="00AD1383" w:rsidP="00AD1383">
      <w:pPr>
        <w:rPr>
          <w:rFonts w:ascii="Segoe UI" w:hAnsi="Segoe UI" w:cs="Segoe UI"/>
        </w:rPr>
      </w:pPr>
      <w:r w:rsidRPr="00773A96">
        <w:rPr>
          <w:rFonts w:ascii="Segoe UI" w:hAnsi="Segoe UI" w:cs="Segoe UI"/>
          <w:b/>
        </w:rPr>
        <w:t xml:space="preserve">Applicable TOIs: </w:t>
      </w:r>
      <w:r w:rsidRPr="00773A96">
        <w:rPr>
          <w:rFonts w:ascii="Segoe UI" w:hAnsi="Segoe UI" w:cs="Segoe UI"/>
        </w:rPr>
        <w:t>LTC02G, LTC02I, LTC03G, LTC03I, LTC04G, LTC04I, LTC05G, LTC05I, and LTC06.</w:t>
      </w:r>
    </w:p>
    <w:p w14:paraId="50C83E74" w14:textId="77777777" w:rsidR="00AD1383" w:rsidRPr="00AD1383" w:rsidRDefault="00AD1383" w:rsidP="00AD1383"/>
    <w:sdt>
      <w:sdtPr>
        <w:rPr>
          <w:rFonts w:asciiTheme="minorHAnsi" w:eastAsiaTheme="minorHAnsi" w:hAnsiTheme="minorHAnsi" w:cstheme="minorBidi"/>
          <w:color w:val="auto"/>
          <w:sz w:val="22"/>
          <w:szCs w:val="22"/>
        </w:rPr>
        <w:id w:val="-1934656366"/>
        <w:docPartObj>
          <w:docPartGallery w:val="Table of Contents"/>
          <w:docPartUnique/>
        </w:docPartObj>
      </w:sdtPr>
      <w:sdtEndPr>
        <w:rPr>
          <w:bCs/>
          <w:noProof/>
        </w:rPr>
      </w:sdtEndPr>
      <w:sdtContent>
        <w:p w14:paraId="1C101DFF" w14:textId="09636CF8" w:rsidR="006B5BEB" w:rsidRPr="00111395" w:rsidRDefault="006B5BEB">
          <w:pPr>
            <w:pStyle w:val="TOCHeading"/>
            <w:rPr>
              <w:rFonts w:ascii="Segoe UI" w:hAnsi="Segoe UI" w:cs="Segoe UI"/>
              <w:sz w:val="28"/>
            </w:rPr>
          </w:pPr>
          <w:r w:rsidRPr="00111395">
            <w:rPr>
              <w:rFonts w:ascii="Segoe UI" w:hAnsi="Segoe UI" w:cs="Segoe UI"/>
              <w:sz w:val="28"/>
            </w:rPr>
            <w:t>Contents</w:t>
          </w:r>
        </w:p>
        <w:p w14:paraId="153FF7C7" w14:textId="2807047F" w:rsidR="007653CB" w:rsidRDefault="006B5BEB">
          <w:pPr>
            <w:pStyle w:val="TOC1"/>
            <w:rPr>
              <w:rFonts w:cstheme="minorBidi"/>
              <w:noProof/>
              <w:kern w:val="2"/>
              <w14:ligatures w14:val="standardContextual"/>
            </w:rPr>
          </w:pPr>
          <w:r w:rsidRPr="00111395">
            <w:rPr>
              <w:bCs/>
              <w:noProof/>
            </w:rPr>
            <w:fldChar w:fldCharType="begin"/>
          </w:r>
          <w:r w:rsidRPr="00111395">
            <w:rPr>
              <w:bCs/>
              <w:noProof/>
            </w:rPr>
            <w:instrText xml:space="preserve"> TOC \o "1-3" \h \z \u </w:instrText>
          </w:r>
          <w:r w:rsidRPr="00111395">
            <w:rPr>
              <w:bCs/>
              <w:noProof/>
            </w:rPr>
            <w:fldChar w:fldCharType="separate"/>
          </w:r>
          <w:hyperlink w:anchor="_Toc159401243" w:history="1">
            <w:r w:rsidR="007653CB" w:rsidRPr="00C25BB8">
              <w:rPr>
                <w:rStyle w:val="Hyperlink"/>
                <w:b/>
                <w:noProof/>
              </w:rPr>
              <w:t>I.</w:t>
            </w:r>
            <w:r w:rsidR="007653CB">
              <w:rPr>
                <w:rFonts w:cstheme="minorBidi"/>
                <w:noProof/>
                <w:kern w:val="2"/>
                <w14:ligatures w14:val="standardContextual"/>
              </w:rPr>
              <w:tab/>
            </w:r>
            <w:r w:rsidR="007653CB" w:rsidRPr="00C25BB8">
              <w:rPr>
                <w:rStyle w:val="Hyperlink"/>
                <w:b/>
                <w:noProof/>
              </w:rPr>
              <w:t>Does the top section of the Rate/Rule Schedule tab in SERFF reflect all information about the prior rate filing, if applicable?</w:t>
            </w:r>
            <w:r w:rsidR="007653CB">
              <w:rPr>
                <w:noProof/>
                <w:webHidden/>
              </w:rPr>
              <w:tab/>
            </w:r>
            <w:r w:rsidR="007653CB">
              <w:rPr>
                <w:noProof/>
                <w:webHidden/>
              </w:rPr>
              <w:fldChar w:fldCharType="begin"/>
            </w:r>
            <w:r w:rsidR="007653CB">
              <w:rPr>
                <w:noProof/>
                <w:webHidden/>
              </w:rPr>
              <w:instrText xml:space="preserve"> PAGEREF _Toc159401243 \h </w:instrText>
            </w:r>
            <w:r w:rsidR="007653CB">
              <w:rPr>
                <w:noProof/>
                <w:webHidden/>
              </w:rPr>
            </w:r>
            <w:r w:rsidR="007653CB">
              <w:rPr>
                <w:noProof/>
                <w:webHidden/>
              </w:rPr>
              <w:fldChar w:fldCharType="separate"/>
            </w:r>
            <w:r w:rsidR="00B17F89">
              <w:rPr>
                <w:noProof/>
                <w:webHidden/>
              </w:rPr>
              <w:t>2</w:t>
            </w:r>
            <w:r w:rsidR="007653CB">
              <w:rPr>
                <w:noProof/>
                <w:webHidden/>
              </w:rPr>
              <w:fldChar w:fldCharType="end"/>
            </w:r>
          </w:hyperlink>
        </w:p>
        <w:p w14:paraId="521146E9" w14:textId="12CFBC7F" w:rsidR="007653CB" w:rsidRDefault="007653CB">
          <w:pPr>
            <w:pStyle w:val="TOC1"/>
            <w:rPr>
              <w:rFonts w:cstheme="minorBidi"/>
              <w:noProof/>
              <w:kern w:val="2"/>
              <w14:ligatures w14:val="standardContextual"/>
            </w:rPr>
          </w:pPr>
          <w:hyperlink w:anchor="_Toc159401244" w:history="1">
            <w:r w:rsidRPr="00C25BB8">
              <w:rPr>
                <w:rStyle w:val="Hyperlink"/>
                <w:b/>
                <w:noProof/>
              </w:rPr>
              <w:t>II.</w:t>
            </w:r>
            <w:r>
              <w:rPr>
                <w:rFonts w:cstheme="minorBidi"/>
                <w:noProof/>
                <w:kern w:val="2"/>
                <w14:ligatures w14:val="standardContextual"/>
              </w:rPr>
              <w:tab/>
            </w:r>
            <w:r w:rsidRPr="00C25BB8">
              <w:rPr>
                <w:rStyle w:val="Hyperlink"/>
                <w:b/>
                <w:noProof/>
              </w:rPr>
              <w:t>Long Term Care (LTC) Combination (Combo) products paired with life or annuities.</w:t>
            </w:r>
            <w:r>
              <w:rPr>
                <w:noProof/>
                <w:webHidden/>
              </w:rPr>
              <w:tab/>
            </w:r>
            <w:r>
              <w:rPr>
                <w:noProof/>
                <w:webHidden/>
              </w:rPr>
              <w:fldChar w:fldCharType="begin"/>
            </w:r>
            <w:r>
              <w:rPr>
                <w:noProof/>
                <w:webHidden/>
              </w:rPr>
              <w:instrText xml:space="preserve"> PAGEREF _Toc159401244 \h </w:instrText>
            </w:r>
            <w:r>
              <w:rPr>
                <w:noProof/>
                <w:webHidden/>
              </w:rPr>
            </w:r>
            <w:r>
              <w:rPr>
                <w:noProof/>
                <w:webHidden/>
              </w:rPr>
              <w:fldChar w:fldCharType="separate"/>
            </w:r>
            <w:r w:rsidR="00B17F89">
              <w:rPr>
                <w:noProof/>
                <w:webHidden/>
              </w:rPr>
              <w:t>2</w:t>
            </w:r>
            <w:r>
              <w:rPr>
                <w:noProof/>
                <w:webHidden/>
              </w:rPr>
              <w:fldChar w:fldCharType="end"/>
            </w:r>
          </w:hyperlink>
        </w:p>
        <w:p w14:paraId="7BDA4CA1" w14:textId="4BC70CE9" w:rsidR="007653CB" w:rsidRDefault="007653CB">
          <w:pPr>
            <w:pStyle w:val="TOC1"/>
            <w:rPr>
              <w:rFonts w:cstheme="minorBidi"/>
              <w:noProof/>
              <w:kern w:val="2"/>
              <w14:ligatures w14:val="standardContextual"/>
            </w:rPr>
          </w:pPr>
          <w:hyperlink w:anchor="_Toc159401245" w:history="1">
            <w:r w:rsidRPr="00C25BB8">
              <w:rPr>
                <w:rStyle w:val="Hyperlink"/>
                <w:b/>
                <w:noProof/>
              </w:rPr>
              <w:t>III.</w:t>
            </w:r>
            <w:r>
              <w:rPr>
                <w:rFonts w:cstheme="minorBidi"/>
                <w:noProof/>
                <w:kern w:val="2"/>
                <w14:ligatures w14:val="standardContextual"/>
              </w:rPr>
              <w:tab/>
            </w:r>
            <w:r w:rsidRPr="00C25BB8">
              <w:rPr>
                <w:rStyle w:val="Hyperlink"/>
                <w:b/>
                <w:noProof/>
              </w:rPr>
              <w:t>Out of state situs groups.</w:t>
            </w:r>
            <w:r>
              <w:rPr>
                <w:noProof/>
                <w:webHidden/>
              </w:rPr>
              <w:tab/>
            </w:r>
            <w:r>
              <w:rPr>
                <w:noProof/>
                <w:webHidden/>
              </w:rPr>
              <w:fldChar w:fldCharType="begin"/>
            </w:r>
            <w:r>
              <w:rPr>
                <w:noProof/>
                <w:webHidden/>
              </w:rPr>
              <w:instrText xml:space="preserve"> PAGEREF _Toc159401245 \h </w:instrText>
            </w:r>
            <w:r>
              <w:rPr>
                <w:noProof/>
                <w:webHidden/>
              </w:rPr>
            </w:r>
            <w:r>
              <w:rPr>
                <w:noProof/>
                <w:webHidden/>
              </w:rPr>
              <w:fldChar w:fldCharType="separate"/>
            </w:r>
            <w:r w:rsidR="00B17F89">
              <w:rPr>
                <w:noProof/>
                <w:webHidden/>
              </w:rPr>
              <w:t>2</w:t>
            </w:r>
            <w:r>
              <w:rPr>
                <w:noProof/>
                <w:webHidden/>
              </w:rPr>
              <w:fldChar w:fldCharType="end"/>
            </w:r>
          </w:hyperlink>
        </w:p>
        <w:p w14:paraId="00BAC397" w14:textId="7A300F20" w:rsidR="007653CB" w:rsidRDefault="007653CB">
          <w:pPr>
            <w:pStyle w:val="TOC1"/>
            <w:rPr>
              <w:rFonts w:cstheme="minorBidi"/>
              <w:noProof/>
              <w:kern w:val="2"/>
              <w14:ligatures w14:val="standardContextual"/>
            </w:rPr>
          </w:pPr>
          <w:hyperlink w:anchor="_Toc159401246" w:history="1">
            <w:r w:rsidRPr="00C25BB8">
              <w:rPr>
                <w:rStyle w:val="Hyperlink"/>
                <w:b/>
                <w:noProof/>
              </w:rPr>
              <w:t>IV.</w:t>
            </w:r>
            <w:r>
              <w:rPr>
                <w:rFonts w:cstheme="minorBidi"/>
                <w:noProof/>
                <w:kern w:val="2"/>
                <w14:ligatures w14:val="standardContextual"/>
              </w:rPr>
              <w:tab/>
            </w:r>
            <w:r w:rsidRPr="00C25BB8">
              <w:rPr>
                <w:rStyle w:val="Hyperlink"/>
                <w:b/>
                <w:noProof/>
              </w:rPr>
              <w:t>Have you specified the type of rate filing and when the policies were issued?</w:t>
            </w:r>
            <w:r>
              <w:rPr>
                <w:noProof/>
                <w:webHidden/>
              </w:rPr>
              <w:tab/>
            </w:r>
            <w:r>
              <w:rPr>
                <w:noProof/>
                <w:webHidden/>
              </w:rPr>
              <w:fldChar w:fldCharType="begin"/>
            </w:r>
            <w:r>
              <w:rPr>
                <w:noProof/>
                <w:webHidden/>
              </w:rPr>
              <w:instrText xml:space="preserve"> PAGEREF _Toc159401246 \h </w:instrText>
            </w:r>
            <w:r>
              <w:rPr>
                <w:noProof/>
                <w:webHidden/>
              </w:rPr>
            </w:r>
            <w:r>
              <w:rPr>
                <w:noProof/>
                <w:webHidden/>
              </w:rPr>
              <w:fldChar w:fldCharType="separate"/>
            </w:r>
            <w:r w:rsidR="00B17F89">
              <w:rPr>
                <w:noProof/>
                <w:webHidden/>
              </w:rPr>
              <w:t>3</w:t>
            </w:r>
            <w:r>
              <w:rPr>
                <w:noProof/>
                <w:webHidden/>
              </w:rPr>
              <w:fldChar w:fldCharType="end"/>
            </w:r>
          </w:hyperlink>
        </w:p>
        <w:p w14:paraId="17EE1827" w14:textId="5A91B07C" w:rsidR="007653CB" w:rsidRDefault="007653CB">
          <w:pPr>
            <w:pStyle w:val="TOC1"/>
            <w:rPr>
              <w:rFonts w:cstheme="minorBidi"/>
              <w:noProof/>
              <w:kern w:val="2"/>
              <w14:ligatures w14:val="standardContextual"/>
            </w:rPr>
          </w:pPr>
          <w:hyperlink w:anchor="_Toc159401247" w:history="1">
            <w:r w:rsidRPr="00C25BB8">
              <w:rPr>
                <w:rStyle w:val="Hyperlink"/>
                <w:b/>
                <w:noProof/>
              </w:rPr>
              <w:t>V.</w:t>
            </w:r>
            <w:r>
              <w:rPr>
                <w:rFonts w:cstheme="minorBidi"/>
                <w:noProof/>
                <w:kern w:val="2"/>
                <w14:ligatures w14:val="standardContextual"/>
              </w:rPr>
              <w:tab/>
            </w:r>
            <w:r w:rsidRPr="00C25BB8">
              <w:rPr>
                <w:rStyle w:val="Hyperlink"/>
                <w:b/>
                <w:noProof/>
              </w:rPr>
              <w:t>Is the rate filing for Compact LTC policies with an increase greater than 15%?</w:t>
            </w:r>
            <w:r>
              <w:rPr>
                <w:noProof/>
                <w:webHidden/>
              </w:rPr>
              <w:tab/>
            </w:r>
            <w:r>
              <w:rPr>
                <w:noProof/>
                <w:webHidden/>
              </w:rPr>
              <w:fldChar w:fldCharType="begin"/>
            </w:r>
            <w:r>
              <w:rPr>
                <w:noProof/>
                <w:webHidden/>
              </w:rPr>
              <w:instrText xml:space="preserve"> PAGEREF _Toc159401247 \h </w:instrText>
            </w:r>
            <w:r>
              <w:rPr>
                <w:noProof/>
                <w:webHidden/>
              </w:rPr>
            </w:r>
            <w:r>
              <w:rPr>
                <w:noProof/>
                <w:webHidden/>
              </w:rPr>
              <w:fldChar w:fldCharType="separate"/>
            </w:r>
            <w:r w:rsidR="00B17F89">
              <w:rPr>
                <w:noProof/>
                <w:webHidden/>
              </w:rPr>
              <w:t>3</w:t>
            </w:r>
            <w:r>
              <w:rPr>
                <w:noProof/>
                <w:webHidden/>
              </w:rPr>
              <w:fldChar w:fldCharType="end"/>
            </w:r>
          </w:hyperlink>
        </w:p>
        <w:p w14:paraId="24214EA9" w14:textId="146C8DB9" w:rsidR="007653CB" w:rsidRDefault="007653CB">
          <w:pPr>
            <w:pStyle w:val="TOC1"/>
            <w:rPr>
              <w:rFonts w:cstheme="minorBidi"/>
              <w:noProof/>
              <w:kern w:val="2"/>
              <w14:ligatures w14:val="standardContextual"/>
            </w:rPr>
          </w:pPr>
          <w:hyperlink w:anchor="_Toc159401248" w:history="1">
            <w:r w:rsidRPr="00C25BB8">
              <w:rPr>
                <w:rStyle w:val="Hyperlink"/>
                <w:b/>
                <w:noProof/>
              </w:rPr>
              <w:t>VI.</w:t>
            </w:r>
            <w:r>
              <w:rPr>
                <w:rFonts w:cstheme="minorBidi"/>
                <w:noProof/>
                <w:kern w:val="2"/>
                <w14:ligatures w14:val="standardContextual"/>
              </w:rPr>
              <w:tab/>
            </w:r>
            <w:r w:rsidRPr="00C25BB8">
              <w:rPr>
                <w:rStyle w:val="Hyperlink"/>
                <w:b/>
                <w:noProof/>
              </w:rPr>
              <w:t>Can the final billed premium rates be determined from the rate manual?</w:t>
            </w:r>
            <w:r>
              <w:rPr>
                <w:noProof/>
                <w:webHidden/>
              </w:rPr>
              <w:tab/>
            </w:r>
            <w:r>
              <w:rPr>
                <w:noProof/>
                <w:webHidden/>
              </w:rPr>
              <w:fldChar w:fldCharType="begin"/>
            </w:r>
            <w:r>
              <w:rPr>
                <w:noProof/>
                <w:webHidden/>
              </w:rPr>
              <w:instrText xml:space="preserve"> PAGEREF _Toc159401248 \h </w:instrText>
            </w:r>
            <w:r>
              <w:rPr>
                <w:noProof/>
                <w:webHidden/>
              </w:rPr>
            </w:r>
            <w:r>
              <w:rPr>
                <w:noProof/>
                <w:webHidden/>
              </w:rPr>
              <w:fldChar w:fldCharType="separate"/>
            </w:r>
            <w:r w:rsidR="00B17F89">
              <w:rPr>
                <w:noProof/>
                <w:webHidden/>
              </w:rPr>
              <w:t>4</w:t>
            </w:r>
            <w:r>
              <w:rPr>
                <w:noProof/>
                <w:webHidden/>
              </w:rPr>
              <w:fldChar w:fldCharType="end"/>
            </w:r>
          </w:hyperlink>
        </w:p>
        <w:p w14:paraId="2CD37B1B" w14:textId="63B8CA02" w:rsidR="007653CB" w:rsidRDefault="007653CB">
          <w:pPr>
            <w:pStyle w:val="TOC1"/>
            <w:rPr>
              <w:rFonts w:cstheme="minorBidi"/>
              <w:noProof/>
              <w:kern w:val="2"/>
              <w14:ligatures w14:val="standardContextual"/>
            </w:rPr>
          </w:pPr>
          <w:hyperlink w:anchor="_Toc159401249" w:history="1">
            <w:r w:rsidRPr="00C25BB8">
              <w:rPr>
                <w:rStyle w:val="Hyperlink"/>
                <w:b/>
                <w:noProof/>
              </w:rPr>
              <w:t>VII.</w:t>
            </w:r>
            <w:r>
              <w:rPr>
                <w:rFonts w:cstheme="minorBidi"/>
                <w:noProof/>
                <w:kern w:val="2"/>
                <w14:ligatures w14:val="standardContextual"/>
              </w:rPr>
              <w:tab/>
            </w:r>
            <w:r w:rsidRPr="00C25BB8">
              <w:rPr>
                <w:rStyle w:val="Hyperlink"/>
                <w:b/>
                <w:noProof/>
              </w:rPr>
              <w:t>If applicable, is sufficient information provided for an experience report filing [WAC 284-83-090(4) &amp; (5)]?</w:t>
            </w:r>
            <w:r>
              <w:rPr>
                <w:noProof/>
                <w:webHidden/>
              </w:rPr>
              <w:tab/>
            </w:r>
            <w:r>
              <w:rPr>
                <w:noProof/>
                <w:webHidden/>
              </w:rPr>
              <w:fldChar w:fldCharType="begin"/>
            </w:r>
            <w:r>
              <w:rPr>
                <w:noProof/>
                <w:webHidden/>
              </w:rPr>
              <w:instrText xml:space="preserve"> PAGEREF _Toc159401249 \h </w:instrText>
            </w:r>
            <w:r>
              <w:rPr>
                <w:noProof/>
                <w:webHidden/>
              </w:rPr>
            </w:r>
            <w:r>
              <w:rPr>
                <w:noProof/>
                <w:webHidden/>
              </w:rPr>
              <w:fldChar w:fldCharType="separate"/>
            </w:r>
            <w:r w:rsidR="00B17F89">
              <w:rPr>
                <w:noProof/>
                <w:webHidden/>
              </w:rPr>
              <w:t>5</w:t>
            </w:r>
            <w:r>
              <w:rPr>
                <w:noProof/>
                <w:webHidden/>
              </w:rPr>
              <w:fldChar w:fldCharType="end"/>
            </w:r>
          </w:hyperlink>
        </w:p>
        <w:p w14:paraId="48268480" w14:textId="3C0AF5C5" w:rsidR="007653CB" w:rsidRDefault="007653CB">
          <w:pPr>
            <w:pStyle w:val="TOC1"/>
            <w:rPr>
              <w:rFonts w:cstheme="minorBidi"/>
              <w:noProof/>
              <w:kern w:val="2"/>
              <w14:ligatures w14:val="standardContextual"/>
            </w:rPr>
          </w:pPr>
          <w:hyperlink w:anchor="_Toc159401250" w:history="1">
            <w:r w:rsidRPr="00C25BB8">
              <w:rPr>
                <w:rStyle w:val="Hyperlink"/>
                <w:b/>
                <w:noProof/>
              </w:rPr>
              <w:t>VIII.</w:t>
            </w:r>
            <w:r>
              <w:rPr>
                <w:rFonts w:cstheme="minorBidi"/>
                <w:noProof/>
                <w:kern w:val="2"/>
                <w14:ligatures w14:val="standardContextual"/>
              </w:rPr>
              <w:tab/>
            </w:r>
            <w:r w:rsidRPr="00C25BB8">
              <w:rPr>
                <w:rStyle w:val="Hyperlink"/>
                <w:b/>
                <w:noProof/>
              </w:rPr>
              <w:t>Do Excel copies of PDFs meet our standard submission requirements?</w:t>
            </w:r>
            <w:r>
              <w:rPr>
                <w:noProof/>
                <w:webHidden/>
              </w:rPr>
              <w:tab/>
            </w:r>
            <w:r>
              <w:rPr>
                <w:noProof/>
                <w:webHidden/>
              </w:rPr>
              <w:fldChar w:fldCharType="begin"/>
            </w:r>
            <w:r>
              <w:rPr>
                <w:noProof/>
                <w:webHidden/>
              </w:rPr>
              <w:instrText xml:space="preserve"> PAGEREF _Toc159401250 \h </w:instrText>
            </w:r>
            <w:r>
              <w:rPr>
                <w:noProof/>
                <w:webHidden/>
              </w:rPr>
            </w:r>
            <w:r>
              <w:rPr>
                <w:noProof/>
                <w:webHidden/>
              </w:rPr>
              <w:fldChar w:fldCharType="separate"/>
            </w:r>
            <w:r w:rsidR="00B17F89">
              <w:rPr>
                <w:noProof/>
                <w:webHidden/>
              </w:rPr>
              <w:t>5</w:t>
            </w:r>
            <w:r>
              <w:rPr>
                <w:noProof/>
                <w:webHidden/>
              </w:rPr>
              <w:fldChar w:fldCharType="end"/>
            </w:r>
          </w:hyperlink>
        </w:p>
        <w:p w14:paraId="08B601DA" w14:textId="5FF32B61" w:rsidR="007653CB" w:rsidRDefault="007653CB">
          <w:pPr>
            <w:pStyle w:val="TOC1"/>
            <w:rPr>
              <w:rFonts w:cstheme="minorBidi"/>
              <w:noProof/>
              <w:kern w:val="2"/>
              <w14:ligatures w14:val="standardContextual"/>
            </w:rPr>
          </w:pPr>
          <w:hyperlink w:anchor="_Toc159401251" w:history="1">
            <w:r w:rsidRPr="00C25BB8">
              <w:rPr>
                <w:rStyle w:val="Hyperlink"/>
                <w:b/>
                <w:noProof/>
              </w:rPr>
              <w:t>IX.</w:t>
            </w:r>
            <w:r>
              <w:rPr>
                <w:rFonts w:cstheme="minorBidi"/>
                <w:noProof/>
                <w:kern w:val="2"/>
                <w14:ligatures w14:val="standardContextual"/>
              </w:rPr>
              <w:tab/>
            </w:r>
            <w:r w:rsidRPr="00C25BB8">
              <w:rPr>
                <w:rStyle w:val="Hyperlink"/>
                <w:b/>
                <w:noProof/>
              </w:rPr>
              <w:t>Is it clear that the general rating manual meets the pooling requirements?</w:t>
            </w:r>
            <w:r>
              <w:rPr>
                <w:noProof/>
                <w:webHidden/>
              </w:rPr>
              <w:tab/>
            </w:r>
            <w:r>
              <w:rPr>
                <w:noProof/>
                <w:webHidden/>
              </w:rPr>
              <w:fldChar w:fldCharType="begin"/>
            </w:r>
            <w:r>
              <w:rPr>
                <w:noProof/>
                <w:webHidden/>
              </w:rPr>
              <w:instrText xml:space="preserve"> PAGEREF _Toc159401251 \h </w:instrText>
            </w:r>
            <w:r>
              <w:rPr>
                <w:noProof/>
                <w:webHidden/>
              </w:rPr>
            </w:r>
            <w:r>
              <w:rPr>
                <w:noProof/>
                <w:webHidden/>
              </w:rPr>
              <w:fldChar w:fldCharType="separate"/>
            </w:r>
            <w:r w:rsidR="00B17F89">
              <w:rPr>
                <w:noProof/>
                <w:webHidden/>
              </w:rPr>
              <w:t>6</w:t>
            </w:r>
            <w:r>
              <w:rPr>
                <w:noProof/>
                <w:webHidden/>
              </w:rPr>
              <w:fldChar w:fldCharType="end"/>
            </w:r>
          </w:hyperlink>
        </w:p>
        <w:p w14:paraId="4971ADCF" w14:textId="4EF462EF" w:rsidR="007653CB" w:rsidRDefault="007653CB">
          <w:pPr>
            <w:pStyle w:val="TOC1"/>
            <w:rPr>
              <w:rFonts w:cstheme="minorBidi"/>
              <w:noProof/>
              <w:kern w:val="2"/>
              <w14:ligatures w14:val="standardContextual"/>
            </w:rPr>
          </w:pPr>
          <w:hyperlink w:anchor="_Toc159401252" w:history="1">
            <w:r w:rsidRPr="00C25BB8">
              <w:rPr>
                <w:rStyle w:val="Hyperlink"/>
                <w:b/>
                <w:noProof/>
              </w:rPr>
              <w:t>X.</w:t>
            </w:r>
            <w:r>
              <w:rPr>
                <w:rFonts w:cstheme="minorBidi"/>
                <w:noProof/>
                <w:kern w:val="2"/>
                <w14:ligatures w14:val="standardContextual"/>
              </w:rPr>
              <w:tab/>
            </w:r>
            <w:r w:rsidRPr="00C25BB8">
              <w:rPr>
                <w:rStyle w:val="Hyperlink"/>
                <w:b/>
                <w:noProof/>
              </w:rPr>
              <w:t>Are benefits reasonable in relation to the premium charged [RCW 48.18.110]?</w:t>
            </w:r>
            <w:r>
              <w:rPr>
                <w:noProof/>
                <w:webHidden/>
              </w:rPr>
              <w:tab/>
            </w:r>
            <w:r>
              <w:rPr>
                <w:noProof/>
                <w:webHidden/>
              </w:rPr>
              <w:fldChar w:fldCharType="begin"/>
            </w:r>
            <w:r>
              <w:rPr>
                <w:noProof/>
                <w:webHidden/>
              </w:rPr>
              <w:instrText xml:space="preserve"> PAGEREF _Toc159401252 \h </w:instrText>
            </w:r>
            <w:r>
              <w:rPr>
                <w:noProof/>
                <w:webHidden/>
              </w:rPr>
            </w:r>
            <w:r>
              <w:rPr>
                <w:noProof/>
                <w:webHidden/>
              </w:rPr>
              <w:fldChar w:fldCharType="separate"/>
            </w:r>
            <w:r w:rsidR="00B17F89">
              <w:rPr>
                <w:noProof/>
                <w:webHidden/>
              </w:rPr>
              <w:t>6</w:t>
            </w:r>
            <w:r>
              <w:rPr>
                <w:noProof/>
                <w:webHidden/>
              </w:rPr>
              <w:fldChar w:fldCharType="end"/>
            </w:r>
          </w:hyperlink>
        </w:p>
        <w:p w14:paraId="2925BF15" w14:textId="0CA4BB33" w:rsidR="007653CB" w:rsidRDefault="007653CB">
          <w:pPr>
            <w:pStyle w:val="TOC1"/>
            <w:rPr>
              <w:rFonts w:cstheme="minorBidi"/>
              <w:noProof/>
              <w:kern w:val="2"/>
              <w14:ligatures w14:val="standardContextual"/>
            </w:rPr>
          </w:pPr>
          <w:hyperlink w:anchor="_Toc159401253" w:history="1">
            <w:r w:rsidRPr="00C25BB8">
              <w:rPr>
                <w:rStyle w:val="Hyperlink"/>
                <w:b/>
                <w:noProof/>
              </w:rPr>
              <w:t>XI.</w:t>
            </w:r>
            <w:r>
              <w:rPr>
                <w:rFonts w:cstheme="minorBidi"/>
                <w:noProof/>
                <w:kern w:val="2"/>
                <w14:ligatures w14:val="standardContextual"/>
              </w:rPr>
              <w:tab/>
            </w:r>
            <w:r w:rsidRPr="00C25BB8">
              <w:rPr>
                <w:rStyle w:val="Hyperlink"/>
                <w:b/>
                <w:noProof/>
              </w:rPr>
              <w:t>Do benefits or rates unfairly discriminate against an individual or group [RCW 48.18.480]?</w:t>
            </w:r>
            <w:r>
              <w:rPr>
                <w:noProof/>
                <w:webHidden/>
              </w:rPr>
              <w:tab/>
            </w:r>
            <w:r>
              <w:rPr>
                <w:noProof/>
                <w:webHidden/>
              </w:rPr>
              <w:fldChar w:fldCharType="begin"/>
            </w:r>
            <w:r>
              <w:rPr>
                <w:noProof/>
                <w:webHidden/>
              </w:rPr>
              <w:instrText xml:space="preserve"> PAGEREF _Toc159401253 \h </w:instrText>
            </w:r>
            <w:r>
              <w:rPr>
                <w:noProof/>
                <w:webHidden/>
              </w:rPr>
            </w:r>
            <w:r>
              <w:rPr>
                <w:noProof/>
                <w:webHidden/>
              </w:rPr>
              <w:fldChar w:fldCharType="separate"/>
            </w:r>
            <w:r w:rsidR="00B17F89">
              <w:rPr>
                <w:noProof/>
                <w:webHidden/>
              </w:rPr>
              <w:t>6</w:t>
            </w:r>
            <w:r>
              <w:rPr>
                <w:noProof/>
                <w:webHidden/>
              </w:rPr>
              <w:fldChar w:fldCharType="end"/>
            </w:r>
          </w:hyperlink>
        </w:p>
        <w:p w14:paraId="28205D26" w14:textId="46D03D59" w:rsidR="007653CB" w:rsidRDefault="007653CB">
          <w:pPr>
            <w:pStyle w:val="TOC1"/>
            <w:rPr>
              <w:rFonts w:cstheme="minorBidi"/>
              <w:noProof/>
              <w:kern w:val="2"/>
              <w14:ligatures w14:val="standardContextual"/>
            </w:rPr>
          </w:pPr>
          <w:hyperlink w:anchor="_Toc159401254" w:history="1">
            <w:r w:rsidRPr="00C25BB8">
              <w:rPr>
                <w:rStyle w:val="Hyperlink"/>
                <w:b/>
                <w:noProof/>
              </w:rPr>
              <w:t>XII.</w:t>
            </w:r>
            <w:r>
              <w:rPr>
                <w:rFonts w:cstheme="minorBidi"/>
                <w:noProof/>
                <w:kern w:val="2"/>
                <w14:ligatures w14:val="standardContextual"/>
              </w:rPr>
              <w:tab/>
            </w:r>
            <w:r w:rsidRPr="00C25BB8">
              <w:rPr>
                <w:rStyle w:val="Hyperlink"/>
                <w:b/>
                <w:noProof/>
              </w:rPr>
              <w:t>Is the rate manual consistent with the variability filed in the form filing?</w:t>
            </w:r>
            <w:r>
              <w:rPr>
                <w:noProof/>
                <w:webHidden/>
              </w:rPr>
              <w:tab/>
            </w:r>
            <w:r>
              <w:rPr>
                <w:noProof/>
                <w:webHidden/>
              </w:rPr>
              <w:fldChar w:fldCharType="begin"/>
            </w:r>
            <w:r>
              <w:rPr>
                <w:noProof/>
                <w:webHidden/>
              </w:rPr>
              <w:instrText xml:space="preserve"> PAGEREF _Toc159401254 \h </w:instrText>
            </w:r>
            <w:r>
              <w:rPr>
                <w:noProof/>
                <w:webHidden/>
              </w:rPr>
            </w:r>
            <w:r>
              <w:rPr>
                <w:noProof/>
                <w:webHidden/>
              </w:rPr>
              <w:fldChar w:fldCharType="separate"/>
            </w:r>
            <w:r w:rsidR="00B17F89">
              <w:rPr>
                <w:noProof/>
                <w:webHidden/>
              </w:rPr>
              <w:t>6</w:t>
            </w:r>
            <w:r>
              <w:rPr>
                <w:noProof/>
                <w:webHidden/>
              </w:rPr>
              <w:fldChar w:fldCharType="end"/>
            </w:r>
          </w:hyperlink>
        </w:p>
        <w:p w14:paraId="7CA25072" w14:textId="785753CC" w:rsidR="007653CB" w:rsidRDefault="007653CB">
          <w:pPr>
            <w:pStyle w:val="TOC1"/>
            <w:rPr>
              <w:rFonts w:cstheme="minorBidi"/>
              <w:noProof/>
              <w:kern w:val="2"/>
              <w14:ligatures w14:val="standardContextual"/>
            </w:rPr>
          </w:pPr>
          <w:hyperlink w:anchor="_Toc159401255" w:history="1">
            <w:r w:rsidRPr="00C25BB8">
              <w:rPr>
                <w:rStyle w:val="Hyperlink"/>
                <w:b/>
                <w:noProof/>
              </w:rPr>
              <w:t>XIII.</w:t>
            </w:r>
            <w:r>
              <w:rPr>
                <w:rFonts w:cstheme="minorBidi"/>
                <w:noProof/>
                <w:kern w:val="2"/>
                <w14:ligatures w14:val="standardContextual"/>
              </w:rPr>
              <w:tab/>
            </w:r>
            <w:r w:rsidRPr="00C25BB8">
              <w:rPr>
                <w:rStyle w:val="Hyperlink"/>
                <w:b/>
                <w:noProof/>
              </w:rPr>
              <w:t>Does the filing meet the applicable loss ratios requirements?</w:t>
            </w:r>
            <w:r>
              <w:rPr>
                <w:noProof/>
                <w:webHidden/>
              </w:rPr>
              <w:tab/>
            </w:r>
            <w:r>
              <w:rPr>
                <w:noProof/>
                <w:webHidden/>
              </w:rPr>
              <w:fldChar w:fldCharType="begin"/>
            </w:r>
            <w:r>
              <w:rPr>
                <w:noProof/>
                <w:webHidden/>
              </w:rPr>
              <w:instrText xml:space="preserve"> PAGEREF _Toc159401255 \h </w:instrText>
            </w:r>
            <w:r>
              <w:rPr>
                <w:noProof/>
                <w:webHidden/>
              </w:rPr>
            </w:r>
            <w:r>
              <w:rPr>
                <w:noProof/>
                <w:webHidden/>
              </w:rPr>
              <w:fldChar w:fldCharType="separate"/>
            </w:r>
            <w:r w:rsidR="00B17F89">
              <w:rPr>
                <w:noProof/>
                <w:webHidden/>
              </w:rPr>
              <w:t>6</w:t>
            </w:r>
            <w:r>
              <w:rPr>
                <w:noProof/>
                <w:webHidden/>
              </w:rPr>
              <w:fldChar w:fldCharType="end"/>
            </w:r>
          </w:hyperlink>
        </w:p>
        <w:p w14:paraId="79F516DA" w14:textId="0C0E58E1" w:rsidR="007653CB" w:rsidRDefault="007653CB">
          <w:pPr>
            <w:pStyle w:val="TOC1"/>
            <w:rPr>
              <w:rFonts w:cstheme="minorBidi"/>
              <w:noProof/>
              <w:kern w:val="2"/>
              <w14:ligatures w14:val="standardContextual"/>
            </w:rPr>
          </w:pPr>
          <w:hyperlink w:anchor="_Toc159401256" w:history="1">
            <w:r w:rsidRPr="00C25BB8">
              <w:rPr>
                <w:rStyle w:val="Hyperlink"/>
                <w:b/>
                <w:noProof/>
              </w:rPr>
              <w:t>XIV.</w:t>
            </w:r>
            <w:r>
              <w:rPr>
                <w:rFonts w:cstheme="minorBidi"/>
                <w:noProof/>
                <w:kern w:val="2"/>
                <w14:ligatures w14:val="standardContextual"/>
              </w:rPr>
              <w:tab/>
            </w:r>
            <w:r w:rsidRPr="00C25BB8">
              <w:rPr>
                <w:rStyle w:val="Hyperlink"/>
                <w:b/>
                <w:noProof/>
              </w:rPr>
              <w:t>For rate filings subject to WAC 284-83, include a document titled Disclosure of Rate Practices.</w:t>
            </w:r>
            <w:r>
              <w:rPr>
                <w:noProof/>
                <w:webHidden/>
              </w:rPr>
              <w:tab/>
            </w:r>
            <w:r>
              <w:rPr>
                <w:noProof/>
                <w:webHidden/>
              </w:rPr>
              <w:fldChar w:fldCharType="begin"/>
            </w:r>
            <w:r>
              <w:rPr>
                <w:noProof/>
                <w:webHidden/>
              </w:rPr>
              <w:instrText xml:space="preserve"> PAGEREF _Toc159401256 \h </w:instrText>
            </w:r>
            <w:r>
              <w:rPr>
                <w:noProof/>
                <w:webHidden/>
              </w:rPr>
            </w:r>
            <w:r>
              <w:rPr>
                <w:noProof/>
                <w:webHidden/>
              </w:rPr>
              <w:fldChar w:fldCharType="separate"/>
            </w:r>
            <w:r w:rsidR="00B17F89">
              <w:rPr>
                <w:noProof/>
                <w:webHidden/>
              </w:rPr>
              <w:t>7</w:t>
            </w:r>
            <w:r>
              <w:rPr>
                <w:noProof/>
                <w:webHidden/>
              </w:rPr>
              <w:fldChar w:fldCharType="end"/>
            </w:r>
          </w:hyperlink>
        </w:p>
        <w:p w14:paraId="4A7AA9B2" w14:textId="583EAE33" w:rsidR="007653CB" w:rsidRDefault="007653CB">
          <w:pPr>
            <w:pStyle w:val="TOC1"/>
            <w:rPr>
              <w:rFonts w:cstheme="minorBidi"/>
              <w:noProof/>
              <w:kern w:val="2"/>
              <w14:ligatures w14:val="standardContextual"/>
            </w:rPr>
          </w:pPr>
          <w:hyperlink w:anchor="_Toc159401257" w:history="1">
            <w:r w:rsidRPr="00C25BB8">
              <w:rPr>
                <w:rStyle w:val="Hyperlink"/>
                <w:b/>
                <w:noProof/>
              </w:rPr>
              <w:t>XV.</w:t>
            </w:r>
            <w:r>
              <w:rPr>
                <w:rFonts w:cstheme="minorBidi"/>
                <w:noProof/>
                <w:kern w:val="2"/>
                <w14:ligatures w14:val="standardContextual"/>
              </w:rPr>
              <w:tab/>
            </w:r>
            <w:r w:rsidRPr="00C25BB8">
              <w:rPr>
                <w:rStyle w:val="Hyperlink"/>
                <w:b/>
                <w:noProof/>
              </w:rPr>
              <w:t>Does the filing contain enough information for us to do a proper review?</w:t>
            </w:r>
            <w:r>
              <w:rPr>
                <w:noProof/>
                <w:webHidden/>
              </w:rPr>
              <w:tab/>
            </w:r>
            <w:r>
              <w:rPr>
                <w:noProof/>
                <w:webHidden/>
              </w:rPr>
              <w:fldChar w:fldCharType="begin"/>
            </w:r>
            <w:r>
              <w:rPr>
                <w:noProof/>
                <w:webHidden/>
              </w:rPr>
              <w:instrText xml:space="preserve"> PAGEREF _Toc159401257 \h </w:instrText>
            </w:r>
            <w:r>
              <w:rPr>
                <w:noProof/>
                <w:webHidden/>
              </w:rPr>
            </w:r>
            <w:r>
              <w:rPr>
                <w:noProof/>
                <w:webHidden/>
              </w:rPr>
              <w:fldChar w:fldCharType="separate"/>
            </w:r>
            <w:r w:rsidR="00B17F89">
              <w:rPr>
                <w:noProof/>
                <w:webHidden/>
              </w:rPr>
              <w:t>7</w:t>
            </w:r>
            <w:r>
              <w:rPr>
                <w:noProof/>
                <w:webHidden/>
              </w:rPr>
              <w:fldChar w:fldCharType="end"/>
            </w:r>
          </w:hyperlink>
        </w:p>
        <w:p w14:paraId="5ECCFF48" w14:textId="2EF5ECDE" w:rsidR="007653CB" w:rsidRDefault="007653CB">
          <w:pPr>
            <w:pStyle w:val="TOC2"/>
            <w:rPr>
              <w:rFonts w:cstheme="minorBidi"/>
              <w:noProof/>
              <w:kern w:val="2"/>
              <w14:ligatures w14:val="standardContextual"/>
            </w:rPr>
          </w:pPr>
          <w:hyperlink w:anchor="_Toc159401258" w:history="1">
            <w:r w:rsidRPr="00C25BB8">
              <w:rPr>
                <w:rStyle w:val="Hyperlink"/>
                <w:rFonts w:ascii="Segoe UI" w:hAnsi="Segoe UI" w:cs="Segoe UI"/>
                <w:noProof/>
              </w:rPr>
              <w:t>A.</w:t>
            </w:r>
            <w:r>
              <w:rPr>
                <w:rFonts w:cstheme="minorBidi"/>
                <w:noProof/>
                <w:kern w:val="2"/>
                <w14:ligatures w14:val="standardContextual"/>
              </w:rPr>
              <w:tab/>
            </w:r>
            <w:r w:rsidRPr="00C25BB8">
              <w:rPr>
                <w:rStyle w:val="Hyperlink"/>
                <w:rFonts w:ascii="Segoe UI" w:hAnsi="Segoe UI" w:cs="Segoe UI"/>
                <w:noProof/>
              </w:rPr>
              <w:t>Actuarial Memorandum: General Information</w:t>
            </w:r>
            <w:r>
              <w:rPr>
                <w:noProof/>
                <w:webHidden/>
              </w:rPr>
              <w:tab/>
            </w:r>
            <w:r>
              <w:rPr>
                <w:noProof/>
                <w:webHidden/>
              </w:rPr>
              <w:fldChar w:fldCharType="begin"/>
            </w:r>
            <w:r>
              <w:rPr>
                <w:noProof/>
                <w:webHidden/>
              </w:rPr>
              <w:instrText xml:space="preserve"> PAGEREF _Toc159401258 \h </w:instrText>
            </w:r>
            <w:r>
              <w:rPr>
                <w:noProof/>
                <w:webHidden/>
              </w:rPr>
            </w:r>
            <w:r>
              <w:rPr>
                <w:noProof/>
                <w:webHidden/>
              </w:rPr>
              <w:fldChar w:fldCharType="separate"/>
            </w:r>
            <w:r w:rsidR="00B17F89">
              <w:rPr>
                <w:noProof/>
                <w:webHidden/>
              </w:rPr>
              <w:t>7</w:t>
            </w:r>
            <w:r>
              <w:rPr>
                <w:noProof/>
                <w:webHidden/>
              </w:rPr>
              <w:fldChar w:fldCharType="end"/>
            </w:r>
          </w:hyperlink>
        </w:p>
        <w:p w14:paraId="796A6364" w14:textId="20F53CE6" w:rsidR="007653CB" w:rsidRDefault="007653CB">
          <w:pPr>
            <w:pStyle w:val="TOC2"/>
            <w:rPr>
              <w:rFonts w:cstheme="minorBidi"/>
              <w:noProof/>
              <w:kern w:val="2"/>
              <w14:ligatures w14:val="standardContextual"/>
            </w:rPr>
          </w:pPr>
          <w:hyperlink w:anchor="_Toc159401259" w:history="1">
            <w:r w:rsidRPr="00C25BB8">
              <w:rPr>
                <w:rStyle w:val="Hyperlink"/>
                <w:rFonts w:ascii="Segoe UI" w:hAnsi="Segoe UI" w:cs="Segoe UI"/>
                <w:noProof/>
              </w:rPr>
              <w:t>B.</w:t>
            </w:r>
            <w:r>
              <w:rPr>
                <w:rFonts w:cstheme="minorBidi"/>
                <w:noProof/>
                <w:kern w:val="2"/>
                <w14:ligatures w14:val="standardContextual"/>
              </w:rPr>
              <w:tab/>
            </w:r>
            <w:r w:rsidRPr="00C25BB8">
              <w:rPr>
                <w:rStyle w:val="Hyperlink"/>
                <w:rFonts w:ascii="Segoe UI" w:hAnsi="Segoe UI" w:cs="Segoe UI"/>
                <w:noProof/>
              </w:rPr>
              <w:t>Actuarial Memorandum: Assumptions</w:t>
            </w:r>
            <w:r>
              <w:rPr>
                <w:noProof/>
                <w:webHidden/>
              </w:rPr>
              <w:tab/>
            </w:r>
            <w:r>
              <w:rPr>
                <w:noProof/>
                <w:webHidden/>
              </w:rPr>
              <w:fldChar w:fldCharType="begin"/>
            </w:r>
            <w:r>
              <w:rPr>
                <w:noProof/>
                <w:webHidden/>
              </w:rPr>
              <w:instrText xml:space="preserve"> PAGEREF _Toc159401259 \h </w:instrText>
            </w:r>
            <w:r>
              <w:rPr>
                <w:noProof/>
                <w:webHidden/>
              </w:rPr>
            </w:r>
            <w:r>
              <w:rPr>
                <w:noProof/>
                <w:webHidden/>
              </w:rPr>
              <w:fldChar w:fldCharType="separate"/>
            </w:r>
            <w:r w:rsidR="00B17F89">
              <w:rPr>
                <w:noProof/>
                <w:webHidden/>
              </w:rPr>
              <w:t>8</w:t>
            </w:r>
            <w:r>
              <w:rPr>
                <w:noProof/>
                <w:webHidden/>
              </w:rPr>
              <w:fldChar w:fldCharType="end"/>
            </w:r>
          </w:hyperlink>
        </w:p>
        <w:p w14:paraId="0173E54C" w14:textId="538789A1" w:rsidR="007653CB" w:rsidRDefault="007653CB">
          <w:pPr>
            <w:pStyle w:val="TOC2"/>
            <w:rPr>
              <w:rFonts w:cstheme="minorBidi"/>
              <w:noProof/>
              <w:kern w:val="2"/>
              <w14:ligatures w14:val="standardContextual"/>
            </w:rPr>
          </w:pPr>
          <w:hyperlink w:anchor="_Toc159401260" w:history="1">
            <w:r w:rsidRPr="00C25BB8">
              <w:rPr>
                <w:rStyle w:val="Hyperlink"/>
                <w:rFonts w:ascii="Segoe UI" w:hAnsi="Segoe UI" w:cs="Segoe UI"/>
                <w:noProof/>
              </w:rPr>
              <w:t>C.</w:t>
            </w:r>
            <w:r>
              <w:rPr>
                <w:rFonts w:cstheme="minorBidi"/>
                <w:noProof/>
                <w:kern w:val="2"/>
                <w14:ligatures w14:val="standardContextual"/>
              </w:rPr>
              <w:tab/>
            </w:r>
            <w:r w:rsidRPr="00C25BB8">
              <w:rPr>
                <w:rStyle w:val="Hyperlink"/>
                <w:rFonts w:ascii="Segoe UI" w:hAnsi="Segoe UI" w:cs="Segoe UI"/>
                <w:noProof/>
              </w:rPr>
              <w:t>Actuarial Exhibits</w:t>
            </w:r>
            <w:r>
              <w:rPr>
                <w:noProof/>
                <w:webHidden/>
              </w:rPr>
              <w:tab/>
            </w:r>
            <w:r>
              <w:rPr>
                <w:noProof/>
                <w:webHidden/>
              </w:rPr>
              <w:fldChar w:fldCharType="begin"/>
            </w:r>
            <w:r>
              <w:rPr>
                <w:noProof/>
                <w:webHidden/>
              </w:rPr>
              <w:instrText xml:space="preserve"> PAGEREF _Toc159401260 \h </w:instrText>
            </w:r>
            <w:r>
              <w:rPr>
                <w:noProof/>
                <w:webHidden/>
              </w:rPr>
            </w:r>
            <w:r>
              <w:rPr>
                <w:noProof/>
                <w:webHidden/>
              </w:rPr>
              <w:fldChar w:fldCharType="separate"/>
            </w:r>
            <w:r w:rsidR="00B17F89">
              <w:rPr>
                <w:noProof/>
                <w:webHidden/>
              </w:rPr>
              <w:t>9</w:t>
            </w:r>
            <w:r>
              <w:rPr>
                <w:noProof/>
                <w:webHidden/>
              </w:rPr>
              <w:fldChar w:fldCharType="end"/>
            </w:r>
          </w:hyperlink>
        </w:p>
        <w:p w14:paraId="563052B9" w14:textId="774538B8" w:rsidR="007653CB" w:rsidRDefault="007653CB">
          <w:pPr>
            <w:pStyle w:val="TOC2"/>
            <w:rPr>
              <w:rFonts w:cstheme="minorBidi"/>
              <w:noProof/>
              <w:kern w:val="2"/>
              <w14:ligatures w14:val="standardContextual"/>
            </w:rPr>
          </w:pPr>
          <w:hyperlink w:anchor="_Toc159401261" w:history="1">
            <w:r w:rsidRPr="00C25BB8">
              <w:rPr>
                <w:rStyle w:val="Hyperlink"/>
                <w:rFonts w:ascii="Segoe UI" w:hAnsi="Segoe UI" w:cs="Segoe UI"/>
                <w:noProof/>
              </w:rPr>
              <w:t>D.</w:t>
            </w:r>
            <w:r>
              <w:rPr>
                <w:rFonts w:cstheme="minorBidi"/>
                <w:noProof/>
                <w:kern w:val="2"/>
                <w14:ligatures w14:val="standardContextual"/>
              </w:rPr>
              <w:tab/>
            </w:r>
            <w:r w:rsidRPr="00C25BB8">
              <w:rPr>
                <w:rStyle w:val="Hyperlink"/>
                <w:rFonts w:ascii="Segoe UI" w:hAnsi="Segoe UI" w:cs="Segoe UI"/>
                <w:noProof/>
              </w:rPr>
              <w:t>Other Supporting Documentation</w:t>
            </w:r>
            <w:r>
              <w:rPr>
                <w:noProof/>
                <w:webHidden/>
              </w:rPr>
              <w:tab/>
            </w:r>
            <w:r>
              <w:rPr>
                <w:noProof/>
                <w:webHidden/>
              </w:rPr>
              <w:fldChar w:fldCharType="begin"/>
            </w:r>
            <w:r>
              <w:rPr>
                <w:noProof/>
                <w:webHidden/>
              </w:rPr>
              <w:instrText xml:space="preserve"> PAGEREF _Toc159401261 \h </w:instrText>
            </w:r>
            <w:r>
              <w:rPr>
                <w:noProof/>
                <w:webHidden/>
              </w:rPr>
            </w:r>
            <w:r>
              <w:rPr>
                <w:noProof/>
                <w:webHidden/>
              </w:rPr>
              <w:fldChar w:fldCharType="separate"/>
            </w:r>
            <w:r w:rsidR="00B17F89">
              <w:rPr>
                <w:noProof/>
                <w:webHidden/>
              </w:rPr>
              <w:t>10</w:t>
            </w:r>
            <w:r>
              <w:rPr>
                <w:noProof/>
                <w:webHidden/>
              </w:rPr>
              <w:fldChar w:fldCharType="end"/>
            </w:r>
          </w:hyperlink>
        </w:p>
        <w:p w14:paraId="16E2734E" w14:textId="4BCD02BC" w:rsidR="007653CB" w:rsidRDefault="007653CB">
          <w:pPr>
            <w:pStyle w:val="TOC1"/>
            <w:rPr>
              <w:rFonts w:cstheme="minorBidi"/>
              <w:noProof/>
              <w:kern w:val="2"/>
              <w14:ligatures w14:val="standardContextual"/>
            </w:rPr>
          </w:pPr>
          <w:hyperlink w:anchor="_Toc159401262" w:history="1">
            <w:r w:rsidRPr="00C25BB8">
              <w:rPr>
                <w:rStyle w:val="Hyperlink"/>
                <w:b/>
                <w:noProof/>
              </w:rPr>
              <w:t>XVI.</w:t>
            </w:r>
            <w:r>
              <w:rPr>
                <w:rFonts w:cstheme="minorBidi"/>
                <w:noProof/>
                <w:kern w:val="2"/>
                <w14:ligatures w14:val="standardContextual"/>
              </w:rPr>
              <w:tab/>
            </w:r>
            <w:r w:rsidRPr="00C25BB8">
              <w:rPr>
                <w:rStyle w:val="Hyperlink"/>
                <w:b/>
                <w:noProof/>
              </w:rPr>
              <w:t>Is the proprietary filing complete?</w:t>
            </w:r>
            <w:r>
              <w:rPr>
                <w:noProof/>
                <w:webHidden/>
              </w:rPr>
              <w:tab/>
            </w:r>
            <w:r>
              <w:rPr>
                <w:noProof/>
                <w:webHidden/>
              </w:rPr>
              <w:fldChar w:fldCharType="begin"/>
            </w:r>
            <w:r>
              <w:rPr>
                <w:noProof/>
                <w:webHidden/>
              </w:rPr>
              <w:instrText xml:space="preserve"> PAGEREF _Toc159401262 \h </w:instrText>
            </w:r>
            <w:r>
              <w:rPr>
                <w:noProof/>
                <w:webHidden/>
              </w:rPr>
            </w:r>
            <w:r>
              <w:rPr>
                <w:noProof/>
                <w:webHidden/>
              </w:rPr>
              <w:fldChar w:fldCharType="separate"/>
            </w:r>
            <w:r w:rsidR="00B17F89">
              <w:rPr>
                <w:noProof/>
                <w:webHidden/>
              </w:rPr>
              <w:t>10</w:t>
            </w:r>
            <w:r>
              <w:rPr>
                <w:noProof/>
                <w:webHidden/>
              </w:rPr>
              <w:fldChar w:fldCharType="end"/>
            </w:r>
          </w:hyperlink>
        </w:p>
        <w:p w14:paraId="086E2C17" w14:textId="0182E7DE" w:rsidR="007653CB" w:rsidRDefault="007653CB">
          <w:pPr>
            <w:pStyle w:val="TOC1"/>
            <w:rPr>
              <w:rFonts w:cstheme="minorBidi"/>
              <w:noProof/>
              <w:kern w:val="2"/>
              <w14:ligatures w14:val="standardContextual"/>
            </w:rPr>
          </w:pPr>
          <w:hyperlink w:anchor="_Toc159401263" w:history="1">
            <w:r w:rsidRPr="00C25BB8">
              <w:rPr>
                <w:rStyle w:val="Hyperlink"/>
                <w:b/>
                <w:noProof/>
              </w:rPr>
              <w:t>XVII.</w:t>
            </w:r>
            <w:r>
              <w:rPr>
                <w:rFonts w:cstheme="minorBidi"/>
                <w:noProof/>
                <w:kern w:val="2"/>
                <w14:ligatures w14:val="standardContextual"/>
              </w:rPr>
              <w:tab/>
            </w:r>
            <w:r w:rsidRPr="00C25BB8">
              <w:rPr>
                <w:rStyle w:val="Hyperlink"/>
                <w:b/>
                <w:noProof/>
              </w:rPr>
              <w:t>Are you responding to a SERFF Objection Letter?</w:t>
            </w:r>
            <w:r>
              <w:rPr>
                <w:noProof/>
                <w:webHidden/>
              </w:rPr>
              <w:tab/>
            </w:r>
            <w:r>
              <w:rPr>
                <w:noProof/>
                <w:webHidden/>
              </w:rPr>
              <w:fldChar w:fldCharType="begin"/>
            </w:r>
            <w:r>
              <w:rPr>
                <w:noProof/>
                <w:webHidden/>
              </w:rPr>
              <w:instrText xml:space="preserve"> PAGEREF _Toc159401263 \h </w:instrText>
            </w:r>
            <w:r>
              <w:rPr>
                <w:noProof/>
                <w:webHidden/>
              </w:rPr>
            </w:r>
            <w:r>
              <w:rPr>
                <w:noProof/>
                <w:webHidden/>
              </w:rPr>
              <w:fldChar w:fldCharType="separate"/>
            </w:r>
            <w:r w:rsidR="00B17F89">
              <w:rPr>
                <w:noProof/>
                <w:webHidden/>
              </w:rPr>
              <w:t>10</w:t>
            </w:r>
            <w:r>
              <w:rPr>
                <w:noProof/>
                <w:webHidden/>
              </w:rPr>
              <w:fldChar w:fldCharType="end"/>
            </w:r>
          </w:hyperlink>
        </w:p>
        <w:p w14:paraId="315B84DF" w14:textId="059E1D0A" w:rsidR="006B5BEB" w:rsidRDefault="006B5BEB">
          <w:r w:rsidRPr="00111395">
            <w:rPr>
              <w:bCs/>
              <w:noProof/>
            </w:rPr>
            <w:fldChar w:fldCharType="end"/>
          </w:r>
        </w:p>
      </w:sdtContent>
    </w:sdt>
    <w:p w14:paraId="08269813" w14:textId="52FEA28C" w:rsidR="000A6B7B" w:rsidRDefault="000A6B7B">
      <w:pPr>
        <w:rPr>
          <w:rFonts w:ascii="Segoe UI" w:hAnsi="Segoe UI" w:cs="Segoe UI"/>
          <w:b/>
        </w:rPr>
      </w:pPr>
    </w:p>
    <w:p w14:paraId="600B77E7" w14:textId="1866E30C" w:rsidR="00766385" w:rsidRDefault="00766385" w:rsidP="005134E1">
      <w:pPr>
        <w:pStyle w:val="Heading1"/>
        <w:rPr>
          <w:b/>
          <w:sz w:val="22"/>
          <w:szCs w:val="22"/>
        </w:rPr>
      </w:pPr>
      <w:bookmarkStart w:id="1" w:name="_Toc159401243"/>
      <w:r>
        <w:rPr>
          <w:b/>
          <w:sz w:val="22"/>
          <w:szCs w:val="22"/>
        </w:rPr>
        <w:t xml:space="preserve">Does the top section of the </w:t>
      </w:r>
      <w:r w:rsidRPr="00766385">
        <w:rPr>
          <w:b/>
          <w:sz w:val="22"/>
          <w:szCs w:val="22"/>
        </w:rPr>
        <w:t>Rat</w:t>
      </w:r>
      <w:r>
        <w:rPr>
          <w:b/>
          <w:sz w:val="22"/>
          <w:szCs w:val="22"/>
        </w:rPr>
        <w:t>e/Rule Schedule tab in SERFF reflect all information about the prior rate filing, if applicable?</w:t>
      </w:r>
      <w:bookmarkEnd w:id="1"/>
    </w:p>
    <w:p w14:paraId="4AC08B6A" w14:textId="7620809F" w:rsidR="00FB15A5" w:rsidRDefault="00FB15A5" w:rsidP="00E3577B">
      <w:pPr>
        <w:ind w:left="504"/>
        <w:rPr>
          <w:rFonts w:ascii="Segoe UI" w:hAnsi="Segoe UI" w:cs="Segoe UI"/>
        </w:rPr>
      </w:pPr>
      <w:r>
        <w:rPr>
          <w:rFonts w:ascii="Segoe UI" w:hAnsi="Segoe UI" w:cs="Segoe UI"/>
        </w:rPr>
        <w:t>If not, please add that now.</w:t>
      </w:r>
    </w:p>
    <w:p w14:paraId="57F3480D" w14:textId="77777777" w:rsidR="00124ADB" w:rsidRPr="00E3577B" w:rsidRDefault="00124ADB" w:rsidP="00E3577B">
      <w:pPr>
        <w:ind w:left="504"/>
        <w:rPr>
          <w:rFonts w:cs="Segoe UI"/>
        </w:rPr>
      </w:pPr>
    </w:p>
    <w:p w14:paraId="3F4AD9CB" w14:textId="0DF5437A" w:rsidR="00457335" w:rsidRPr="005134E1" w:rsidRDefault="005561C2" w:rsidP="005134E1">
      <w:pPr>
        <w:pStyle w:val="Heading1"/>
        <w:rPr>
          <w:b/>
        </w:rPr>
      </w:pPr>
      <w:bookmarkStart w:id="2" w:name="_Toc159401244"/>
      <w:r w:rsidRPr="005134E1">
        <w:rPr>
          <w:b/>
          <w:sz w:val="22"/>
        </w:rPr>
        <w:t>Long Term Care (</w:t>
      </w:r>
      <w:r w:rsidR="00457335" w:rsidRPr="005134E1">
        <w:rPr>
          <w:b/>
          <w:sz w:val="22"/>
        </w:rPr>
        <w:t>LTC</w:t>
      </w:r>
      <w:r w:rsidRPr="005134E1">
        <w:rPr>
          <w:b/>
          <w:sz w:val="22"/>
        </w:rPr>
        <w:t>)</w:t>
      </w:r>
      <w:r w:rsidR="00457335" w:rsidRPr="005134E1">
        <w:rPr>
          <w:b/>
          <w:sz w:val="22"/>
        </w:rPr>
        <w:t xml:space="preserve"> Comb</w:t>
      </w:r>
      <w:r w:rsidR="00F47BF8" w:rsidRPr="005134E1">
        <w:rPr>
          <w:b/>
          <w:sz w:val="22"/>
        </w:rPr>
        <w:t>ination</w:t>
      </w:r>
      <w:r w:rsidR="00457335" w:rsidRPr="005134E1">
        <w:rPr>
          <w:b/>
          <w:sz w:val="22"/>
        </w:rPr>
        <w:t xml:space="preserve"> </w:t>
      </w:r>
      <w:r w:rsidR="00F47BF8" w:rsidRPr="005134E1">
        <w:rPr>
          <w:b/>
          <w:sz w:val="22"/>
        </w:rPr>
        <w:t xml:space="preserve">(Combo) </w:t>
      </w:r>
      <w:r w:rsidR="00457335" w:rsidRPr="005134E1">
        <w:rPr>
          <w:b/>
          <w:sz w:val="22"/>
        </w:rPr>
        <w:t>products</w:t>
      </w:r>
      <w:r w:rsidR="00350CAE" w:rsidRPr="005134E1">
        <w:rPr>
          <w:b/>
          <w:sz w:val="22"/>
        </w:rPr>
        <w:t xml:space="preserve"> paired</w:t>
      </w:r>
      <w:r w:rsidR="00457335" w:rsidRPr="005134E1">
        <w:rPr>
          <w:b/>
          <w:sz w:val="22"/>
        </w:rPr>
        <w:t xml:space="preserve"> with life or annuities.</w:t>
      </w:r>
      <w:bookmarkEnd w:id="2"/>
    </w:p>
    <w:p w14:paraId="3DD61200" w14:textId="5161AA1B"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roducts with acceleration of benefit only.</w:t>
      </w:r>
    </w:p>
    <w:p w14:paraId="0569E6CD" w14:textId="22ABFC05" w:rsidR="004F758D" w:rsidRDefault="00FF48E2">
      <w:pPr>
        <w:pStyle w:val="ListParagraph"/>
        <w:numPr>
          <w:ilvl w:val="2"/>
          <w:numId w:val="2"/>
        </w:numPr>
        <w:spacing w:after="0"/>
        <w:ind w:left="1620" w:hanging="360"/>
        <w:rPr>
          <w:rFonts w:ascii="Segoe UI" w:hAnsi="Segoe UI" w:cs="Segoe UI"/>
        </w:rPr>
      </w:pPr>
      <w:r>
        <w:rPr>
          <w:rFonts w:ascii="Segoe UI" w:hAnsi="Segoe UI" w:cs="Segoe UI"/>
        </w:rPr>
        <w:t>These</w:t>
      </w:r>
      <w:r w:rsidR="004F758D">
        <w:rPr>
          <w:rFonts w:ascii="Segoe UI" w:hAnsi="Segoe UI" w:cs="Segoe UI"/>
        </w:rPr>
        <w:t xml:space="preserve"> products must be filed under the appropriate life or annuity </w:t>
      </w:r>
      <w:r>
        <w:rPr>
          <w:rFonts w:ascii="Segoe UI" w:hAnsi="Segoe UI" w:cs="Segoe UI"/>
        </w:rPr>
        <w:t>Type of Insurance (TOI).</w:t>
      </w:r>
    </w:p>
    <w:p w14:paraId="713906A7" w14:textId="0CA707FE"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 xml:space="preserve">roducts with LTC benefits in addition to </w:t>
      </w:r>
      <w:r w:rsidR="00C4769F">
        <w:rPr>
          <w:rFonts w:ascii="Segoe UI" w:hAnsi="Segoe UI" w:cs="Segoe UI"/>
        </w:rPr>
        <w:t xml:space="preserve">benefit acceleration (aka </w:t>
      </w:r>
      <w:r w:rsidR="00FF48E2">
        <w:rPr>
          <w:rFonts w:ascii="Segoe UI" w:hAnsi="Segoe UI" w:cs="Segoe UI"/>
        </w:rPr>
        <w:t>acceleration of benefits</w:t>
      </w:r>
      <w:r w:rsidR="00C4769F">
        <w:rPr>
          <w:rFonts w:ascii="Segoe UI" w:hAnsi="Segoe UI" w:cs="Segoe UI"/>
        </w:rPr>
        <w:t>)</w:t>
      </w:r>
      <w:r w:rsidR="00FF48E2">
        <w:rPr>
          <w:rFonts w:ascii="Segoe UI" w:hAnsi="Segoe UI" w:cs="Segoe UI"/>
        </w:rPr>
        <w:t>.</w:t>
      </w:r>
    </w:p>
    <w:p w14:paraId="33A4A062" w14:textId="091B341F" w:rsidR="007A7E08"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for these </w:t>
      </w:r>
      <w:r w:rsidR="004F758D">
        <w:rPr>
          <w:rFonts w:ascii="Segoe UI" w:hAnsi="Segoe UI" w:cs="Segoe UI"/>
        </w:rPr>
        <w:t xml:space="preserve">products must be filed under </w:t>
      </w:r>
      <w:r w:rsidR="007F142D">
        <w:rPr>
          <w:rFonts w:ascii="Segoe UI" w:hAnsi="Segoe UI" w:cs="Segoe UI"/>
        </w:rPr>
        <w:t xml:space="preserve">an LTC TOI with </w:t>
      </w:r>
      <w:r w:rsidR="004F758D">
        <w:rPr>
          <w:rFonts w:ascii="Segoe UI" w:hAnsi="Segoe UI" w:cs="Segoe UI"/>
        </w:rPr>
        <w:t>separate, stand-alone rate and form filings</w:t>
      </w:r>
      <w:r w:rsidR="007A7E08">
        <w:rPr>
          <w:rFonts w:ascii="Segoe UI" w:hAnsi="Segoe UI" w:cs="Segoe UI"/>
        </w:rPr>
        <w:t>.</w:t>
      </w:r>
    </w:p>
    <w:p w14:paraId="1471735E" w14:textId="5BD87F8D" w:rsidR="00F73D6E"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w:t>
      </w:r>
      <w:r>
        <w:rPr>
          <w:rFonts w:ascii="Segoe UI" w:hAnsi="Segoe UI" w:cs="Segoe UI"/>
        </w:rPr>
        <w:t>must be filed as n</w:t>
      </w:r>
      <w:r w:rsidR="00F73D6E">
        <w:rPr>
          <w:rFonts w:ascii="Segoe UI" w:hAnsi="Segoe UI" w:cs="Segoe UI"/>
        </w:rPr>
        <w:t>oncancellable</w:t>
      </w:r>
      <w:r w:rsidR="00F70120">
        <w:rPr>
          <w:rFonts w:ascii="Segoe UI" w:hAnsi="Segoe UI" w:cs="Segoe UI"/>
        </w:rPr>
        <w:t xml:space="preserve"> to be consistent with the corresponding life or annuity</w:t>
      </w:r>
      <w:r w:rsidR="00D644E9">
        <w:rPr>
          <w:rFonts w:ascii="Segoe UI" w:hAnsi="Segoe UI" w:cs="Segoe UI"/>
        </w:rPr>
        <w:t xml:space="preserve"> policies</w:t>
      </w:r>
      <w:r>
        <w:rPr>
          <w:rFonts w:ascii="Segoe UI" w:hAnsi="Segoe UI" w:cs="Segoe UI"/>
        </w:rPr>
        <w:t xml:space="preserve">. </w:t>
      </w:r>
      <w:r w:rsidRPr="00FF48E2">
        <w:rPr>
          <w:rFonts w:ascii="Segoe UI" w:hAnsi="Segoe UI" w:cs="Segoe UI"/>
        </w:rPr>
        <w:t xml:space="preserve">Noncancellable </w:t>
      </w:r>
      <w:r w:rsidR="007F142D">
        <w:rPr>
          <w:rFonts w:ascii="Segoe UI" w:hAnsi="Segoe UI" w:cs="Segoe UI"/>
        </w:rPr>
        <w:t>means that renewal</w:t>
      </w:r>
      <w:r w:rsidR="00C4769F">
        <w:rPr>
          <w:rFonts w:ascii="Segoe UI" w:hAnsi="Segoe UI" w:cs="Segoe UI"/>
        </w:rPr>
        <w:t>s</w:t>
      </w:r>
      <w:r w:rsidR="007F142D">
        <w:rPr>
          <w:rFonts w:ascii="Segoe UI" w:hAnsi="Segoe UI" w:cs="Segoe UI"/>
        </w:rPr>
        <w:t xml:space="preserve"> cannot be declined, nor can rates be revised by the insurance company [se</w:t>
      </w:r>
      <w:r w:rsidRPr="00FF48E2">
        <w:rPr>
          <w:rFonts w:ascii="Segoe UI" w:hAnsi="Segoe UI" w:cs="Segoe UI"/>
        </w:rPr>
        <w:t>e WAC 284-60-030</w:t>
      </w:r>
      <w:r w:rsidR="007F142D">
        <w:rPr>
          <w:rFonts w:ascii="Segoe UI" w:hAnsi="Segoe UI" w:cs="Segoe UI"/>
        </w:rPr>
        <w:t>(9)(b)]</w:t>
      </w:r>
      <w:r w:rsidR="00F73D6E">
        <w:rPr>
          <w:rFonts w:ascii="Segoe UI" w:hAnsi="Segoe UI" w:cs="Segoe UI"/>
        </w:rPr>
        <w:t>.</w:t>
      </w:r>
    </w:p>
    <w:p w14:paraId="3EC8588C" w14:textId="3A5A3EE8" w:rsidR="00457335" w:rsidRDefault="00457335" w:rsidP="007A7E08">
      <w:pPr>
        <w:pStyle w:val="ListParagraph"/>
        <w:spacing w:after="0"/>
        <w:rPr>
          <w:rFonts w:ascii="Segoe UI" w:hAnsi="Segoe UI" w:cs="Segoe UI"/>
        </w:rPr>
      </w:pPr>
      <w:r w:rsidRPr="00457335">
        <w:rPr>
          <w:rFonts w:ascii="Segoe UI" w:hAnsi="Segoe UI" w:cs="Segoe UI"/>
        </w:rPr>
        <w:t xml:space="preserve"> </w:t>
      </w:r>
    </w:p>
    <w:p w14:paraId="74E2B615" w14:textId="234447BA" w:rsidR="001E04D4" w:rsidRDefault="001E04D4" w:rsidP="001E04D4">
      <w:pPr>
        <w:pStyle w:val="Heading1"/>
        <w:rPr>
          <w:b/>
          <w:sz w:val="22"/>
          <w:szCs w:val="22"/>
        </w:rPr>
      </w:pPr>
      <w:bookmarkStart w:id="3" w:name="_Toc159401245"/>
      <w:r>
        <w:rPr>
          <w:b/>
          <w:sz w:val="22"/>
          <w:szCs w:val="22"/>
        </w:rPr>
        <w:t xml:space="preserve">Out of state </w:t>
      </w:r>
      <w:r w:rsidR="00191961">
        <w:rPr>
          <w:b/>
          <w:sz w:val="22"/>
          <w:szCs w:val="22"/>
        </w:rPr>
        <w:t>situs group</w:t>
      </w:r>
      <w:r>
        <w:rPr>
          <w:b/>
          <w:sz w:val="22"/>
          <w:szCs w:val="22"/>
        </w:rPr>
        <w:t>s.</w:t>
      </w:r>
      <w:bookmarkEnd w:id="3"/>
    </w:p>
    <w:p w14:paraId="6155254D" w14:textId="1E53C88B" w:rsid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policies offered to a Washington resident by an out of state discretionary group would need to </w:t>
      </w:r>
      <w:r>
        <w:rPr>
          <w:rFonts w:ascii="Segoe UI" w:hAnsi="Segoe UI" w:cs="Segoe UI"/>
        </w:rPr>
        <w:t xml:space="preserve">be </w:t>
      </w:r>
      <w:r w:rsidR="00191961" w:rsidRPr="00982E06">
        <w:rPr>
          <w:rFonts w:ascii="Segoe UI" w:hAnsi="Segoe UI" w:cs="Segoe UI"/>
        </w:rPr>
        <w:t>file</w:t>
      </w:r>
      <w:r>
        <w:rPr>
          <w:rFonts w:ascii="Segoe UI" w:hAnsi="Segoe UI" w:cs="Segoe UI"/>
        </w:rPr>
        <w:t xml:space="preserve">d </w:t>
      </w:r>
      <w:r w:rsidR="00191961" w:rsidRPr="00982E06">
        <w:rPr>
          <w:rFonts w:ascii="Segoe UI" w:hAnsi="Segoe UI" w:cs="Segoe UI"/>
        </w:rPr>
        <w:t>with our office under RCW 48.83.030 and RCW 48.83.020(6)(d).</w:t>
      </w:r>
    </w:p>
    <w:p w14:paraId="38704014" w14:textId="3BFCC2BC" w:rsidR="001E04D4" w:rsidRP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offered to a Washington resident through a permissible group (see RCW 48.83.020(6)(a)-(c)) would not need to </w:t>
      </w:r>
      <w:r>
        <w:rPr>
          <w:rFonts w:ascii="Segoe UI" w:hAnsi="Segoe UI" w:cs="Segoe UI"/>
        </w:rPr>
        <w:t xml:space="preserve">be </w:t>
      </w:r>
      <w:r w:rsidR="00191961" w:rsidRPr="00982E06">
        <w:rPr>
          <w:rFonts w:ascii="Segoe UI" w:hAnsi="Segoe UI" w:cs="Segoe UI"/>
        </w:rPr>
        <w:t>file</w:t>
      </w:r>
      <w:r>
        <w:rPr>
          <w:rFonts w:ascii="Segoe UI" w:hAnsi="Segoe UI" w:cs="Segoe UI"/>
        </w:rPr>
        <w:t>d</w:t>
      </w:r>
      <w:r w:rsidR="00191961" w:rsidRPr="00982E06">
        <w:rPr>
          <w:rFonts w:ascii="Segoe UI" w:hAnsi="Segoe UI" w:cs="Segoe UI"/>
        </w:rPr>
        <w:t xml:space="preserve"> with our office.</w:t>
      </w:r>
    </w:p>
    <w:p w14:paraId="332C13A3" w14:textId="77777777" w:rsidR="001E04D4" w:rsidRPr="00457335" w:rsidRDefault="001E04D4" w:rsidP="007A7E08">
      <w:pPr>
        <w:pStyle w:val="ListParagraph"/>
        <w:spacing w:after="0"/>
        <w:rPr>
          <w:rFonts w:ascii="Segoe UI" w:hAnsi="Segoe UI" w:cs="Segoe UI"/>
        </w:rPr>
      </w:pPr>
    </w:p>
    <w:p w14:paraId="2D045C83" w14:textId="03D9BF9C" w:rsidR="006B5BEB" w:rsidRDefault="00D679E8" w:rsidP="00084D18">
      <w:pPr>
        <w:pStyle w:val="Heading1"/>
        <w:keepNext/>
        <w:rPr>
          <w:b/>
          <w:sz w:val="22"/>
          <w:szCs w:val="22"/>
        </w:rPr>
      </w:pPr>
      <w:bookmarkStart w:id="4" w:name="_Toc159401246"/>
      <w:r w:rsidRPr="005134E1">
        <w:rPr>
          <w:b/>
          <w:sz w:val="22"/>
          <w:szCs w:val="22"/>
        </w:rPr>
        <w:lastRenderedPageBreak/>
        <w:t xml:space="preserve">Have you specified </w:t>
      </w:r>
      <w:r w:rsidR="005E23F7" w:rsidRPr="005134E1">
        <w:rPr>
          <w:b/>
          <w:sz w:val="22"/>
          <w:szCs w:val="22"/>
        </w:rPr>
        <w:t xml:space="preserve">the type of rate filing and </w:t>
      </w:r>
      <w:r w:rsidRPr="005134E1">
        <w:rPr>
          <w:b/>
          <w:sz w:val="22"/>
          <w:szCs w:val="22"/>
        </w:rPr>
        <w:t>w</w:t>
      </w:r>
      <w:r w:rsidR="00652D0D" w:rsidRPr="005134E1">
        <w:rPr>
          <w:b/>
          <w:sz w:val="22"/>
          <w:szCs w:val="22"/>
        </w:rPr>
        <w:t xml:space="preserve">hen the policies </w:t>
      </w:r>
      <w:r w:rsidRPr="005134E1">
        <w:rPr>
          <w:b/>
          <w:sz w:val="22"/>
          <w:szCs w:val="22"/>
        </w:rPr>
        <w:t xml:space="preserve">were </w:t>
      </w:r>
      <w:r w:rsidR="00652D0D" w:rsidRPr="005134E1">
        <w:rPr>
          <w:b/>
          <w:sz w:val="22"/>
          <w:szCs w:val="22"/>
        </w:rPr>
        <w:t>issued</w:t>
      </w:r>
      <w:r w:rsidR="00393C12" w:rsidRPr="005134E1">
        <w:rPr>
          <w:b/>
          <w:sz w:val="22"/>
          <w:szCs w:val="22"/>
        </w:rPr>
        <w:t>?</w:t>
      </w:r>
      <w:bookmarkEnd w:id="4"/>
    </w:p>
    <w:p w14:paraId="2C5DC5E3" w14:textId="78B0A6E6" w:rsidR="006B5BEB" w:rsidRPr="00FB15A5" w:rsidRDefault="006B5BEB" w:rsidP="002968A3">
      <w:pPr>
        <w:ind w:left="504"/>
        <w:rPr>
          <w:rFonts w:ascii="Segoe UI" w:hAnsi="Segoe UI" w:cs="Segoe UI"/>
        </w:rPr>
      </w:pPr>
      <w:r w:rsidRPr="00FB15A5">
        <w:rPr>
          <w:rFonts w:ascii="Segoe UI" w:hAnsi="Segoe UI" w:cs="Segoe UI"/>
        </w:rPr>
        <w:t>Include the applicable information in the actuarial memorandum.</w:t>
      </w:r>
      <w:r w:rsidR="00475151">
        <w:rPr>
          <w:rFonts w:ascii="Segoe UI" w:hAnsi="Segoe UI" w:cs="Segoe UI"/>
        </w:rPr>
        <w:t xml:space="preserve"> Note: Rate filings should only </w:t>
      </w:r>
      <w:r w:rsidR="009D433D">
        <w:rPr>
          <w:rFonts w:ascii="Segoe UI" w:hAnsi="Segoe UI" w:cs="Segoe UI"/>
        </w:rPr>
        <w:t xml:space="preserve">cover </w:t>
      </w:r>
      <w:r w:rsidR="00475151">
        <w:rPr>
          <w:rFonts w:ascii="Segoe UI" w:hAnsi="Segoe UI" w:cs="Segoe UI"/>
        </w:rPr>
        <w:t>policies issued in the state of Washington, regardless of the policyholder’s current residence.</w:t>
      </w:r>
    </w:p>
    <w:p w14:paraId="70DE3997" w14:textId="3BF037D0" w:rsidR="00350CAE" w:rsidRDefault="003E1200">
      <w:pPr>
        <w:pStyle w:val="ListParagraph"/>
        <w:numPr>
          <w:ilvl w:val="1"/>
          <w:numId w:val="3"/>
        </w:numPr>
        <w:spacing w:after="0"/>
        <w:ind w:left="1080"/>
        <w:rPr>
          <w:rFonts w:ascii="Segoe UI" w:hAnsi="Segoe UI" w:cs="Segoe UI"/>
        </w:rPr>
      </w:pPr>
      <w:r w:rsidRPr="00773A96">
        <w:rPr>
          <w:rFonts w:ascii="Segoe UI" w:hAnsi="Segoe UI" w:cs="Segoe UI"/>
        </w:rPr>
        <w:t>Rate filings for policies issued prior to 2009:</w:t>
      </w:r>
    </w:p>
    <w:p w14:paraId="72DE7894" w14:textId="707F0A15" w:rsidR="00350CAE" w:rsidRDefault="003E1200">
      <w:pPr>
        <w:pStyle w:val="ListParagraph"/>
        <w:numPr>
          <w:ilvl w:val="0"/>
          <w:numId w:val="24"/>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48.84</w:t>
      </w:r>
      <w:r w:rsidRPr="00773A96">
        <w:rPr>
          <w:rFonts w:ascii="Segoe UI" w:hAnsi="Segoe UI" w:cs="Segoe UI"/>
        </w:rPr>
        <w:t xml:space="preserve"> as well as</w:t>
      </w:r>
      <w:r w:rsidR="00D679E8" w:rsidRPr="00773A96">
        <w:rPr>
          <w:rFonts w:ascii="Segoe UI" w:hAnsi="Segoe UI" w:cs="Segoe UI"/>
        </w:rPr>
        <w:t xml:space="preserve"> WAC 284-54 &amp; 284-60.</w:t>
      </w:r>
    </w:p>
    <w:p w14:paraId="65176DE7" w14:textId="5BC4B482" w:rsidR="00393C12" w:rsidRPr="00773A96" w:rsidRDefault="00CC640B">
      <w:pPr>
        <w:pStyle w:val="ListParagraph"/>
        <w:numPr>
          <w:ilvl w:val="0"/>
          <w:numId w:val="24"/>
        </w:numPr>
        <w:spacing w:after="0"/>
        <w:ind w:left="1620"/>
        <w:rPr>
          <w:rFonts w:ascii="Segoe UI" w:hAnsi="Segoe UI" w:cs="Segoe UI"/>
        </w:rPr>
      </w:pPr>
      <w:r w:rsidRPr="00773A96">
        <w:rPr>
          <w:rFonts w:ascii="Segoe UI" w:hAnsi="Segoe UI" w:cs="Segoe UI"/>
        </w:rPr>
        <w:t>Note: For group policies issued prior to 2009, the provisions under WAC 284-83-035 apply on the first group policy anniversary following January 1, 2009 [WAC 284-83-035(1)(b)].</w:t>
      </w:r>
    </w:p>
    <w:p w14:paraId="244DCB0D" w14:textId="54B2C967" w:rsidR="00350CAE" w:rsidRDefault="005E23F7">
      <w:pPr>
        <w:pStyle w:val="ListParagraph"/>
        <w:numPr>
          <w:ilvl w:val="1"/>
          <w:numId w:val="3"/>
        </w:numPr>
        <w:spacing w:after="0"/>
        <w:ind w:left="1080"/>
        <w:rPr>
          <w:rFonts w:ascii="Segoe UI" w:hAnsi="Segoe UI" w:cs="Segoe UI"/>
        </w:rPr>
      </w:pPr>
      <w:r w:rsidRPr="00773A96">
        <w:rPr>
          <w:rFonts w:ascii="Segoe UI" w:hAnsi="Segoe UI" w:cs="Segoe UI"/>
        </w:rPr>
        <w:t>Rate filing</w:t>
      </w:r>
      <w:r w:rsidR="003E1200" w:rsidRPr="00773A96">
        <w:rPr>
          <w:rFonts w:ascii="Segoe UI" w:hAnsi="Segoe UI" w:cs="Segoe UI"/>
        </w:rPr>
        <w:t>s</w:t>
      </w:r>
      <w:r w:rsidRPr="00773A96">
        <w:rPr>
          <w:rFonts w:ascii="Segoe UI" w:hAnsi="Segoe UI" w:cs="Segoe UI"/>
        </w:rPr>
        <w:t xml:space="preserve"> for </w:t>
      </w:r>
      <w:r w:rsidR="00D679E8" w:rsidRPr="00773A96">
        <w:rPr>
          <w:rFonts w:ascii="Segoe UI" w:hAnsi="Segoe UI" w:cs="Segoe UI"/>
        </w:rPr>
        <w:t>p</w:t>
      </w:r>
      <w:r w:rsidR="00A22275" w:rsidRPr="00773A96">
        <w:rPr>
          <w:rFonts w:ascii="Segoe UI" w:hAnsi="Segoe UI" w:cs="Segoe UI"/>
        </w:rPr>
        <w:t>olicies issued in 2009 or later</w:t>
      </w:r>
      <w:r w:rsidR="003E1200" w:rsidRPr="00773A96">
        <w:rPr>
          <w:rFonts w:ascii="Segoe UI" w:hAnsi="Segoe UI" w:cs="Segoe UI"/>
        </w:rPr>
        <w:t>:</w:t>
      </w:r>
    </w:p>
    <w:p w14:paraId="130D018A" w14:textId="577373CF" w:rsidR="00D679E8" w:rsidRPr="00773A96" w:rsidRDefault="003E1200">
      <w:pPr>
        <w:pStyle w:val="ListParagraph"/>
        <w:numPr>
          <w:ilvl w:val="0"/>
          <w:numId w:val="25"/>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48.83</w:t>
      </w:r>
      <w:r w:rsidRPr="00773A96">
        <w:rPr>
          <w:rFonts w:ascii="Segoe UI" w:hAnsi="Segoe UI" w:cs="Segoe UI"/>
        </w:rPr>
        <w:t xml:space="preserve"> and </w:t>
      </w:r>
      <w:r w:rsidR="00D679E8" w:rsidRPr="00773A96">
        <w:rPr>
          <w:rFonts w:ascii="Segoe UI" w:hAnsi="Segoe UI" w:cs="Segoe UI"/>
        </w:rPr>
        <w:t>WAC 284-83.</w:t>
      </w:r>
    </w:p>
    <w:p w14:paraId="5A35A01E" w14:textId="4D0C7974" w:rsidR="005E23F7" w:rsidRPr="00D644E9" w:rsidRDefault="005E23F7">
      <w:pPr>
        <w:pStyle w:val="ListParagraph"/>
        <w:numPr>
          <w:ilvl w:val="0"/>
          <w:numId w:val="25"/>
        </w:numPr>
        <w:ind w:left="1620"/>
        <w:rPr>
          <w:rFonts w:ascii="Segoe UI" w:hAnsi="Segoe UI" w:cs="Segoe UI"/>
        </w:rPr>
      </w:pPr>
      <w:r w:rsidRPr="00773A96">
        <w:rPr>
          <w:rFonts w:ascii="Segoe UI" w:hAnsi="Segoe UI" w:cs="Segoe UI"/>
        </w:rPr>
        <w:t>Updated experience report filing</w:t>
      </w:r>
      <w:r w:rsidR="003E1200" w:rsidRPr="00773A96">
        <w:rPr>
          <w:rFonts w:ascii="Segoe UI" w:hAnsi="Segoe UI" w:cs="Segoe UI"/>
        </w:rPr>
        <w:t>s</w:t>
      </w:r>
      <w:r w:rsidR="00EC617D">
        <w:rPr>
          <w:rFonts w:ascii="Segoe UI" w:hAnsi="Segoe UI" w:cs="Segoe UI"/>
        </w:rPr>
        <w:t xml:space="preserve"> a</w:t>
      </w:r>
      <w:r w:rsidR="00EC617D" w:rsidRPr="00773A96">
        <w:rPr>
          <w:rFonts w:ascii="Segoe UI" w:hAnsi="Segoe UI" w:cs="Segoe UI"/>
        </w:rPr>
        <w:t xml:space="preserve">s required under WAC 284-83-090(4) </w:t>
      </w:r>
      <w:r w:rsidR="008C6AAD">
        <w:rPr>
          <w:rFonts w:ascii="Segoe UI" w:hAnsi="Segoe UI" w:cs="Segoe UI"/>
        </w:rPr>
        <w:t>and</w:t>
      </w:r>
      <w:r w:rsidR="00EC617D" w:rsidRPr="00773A96">
        <w:rPr>
          <w:rFonts w:ascii="Segoe UI" w:hAnsi="Segoe UI" w:cs="Segoe UI"/>
        </w:rPr>
        <w:t xml:space="preserve"> (5)</w:t>
      </w:r>
      <w:r w:rsidR="00DE7D58">
        <w:rPr>
          <w:rFonts w:ascii="Segoe UI" w:hAnsi="Segoe UI" w:cs="Segoe UI"/>
        </w:rPr>
        <w:t xml:space="preserve">. </w:t>
      </w:r>
      <w:r w:rsidR="00EC617D" w:rsidRPr="00D644E9">
        <w:rPr>
          <w:rFonts w:ascii="Segoe UI" w:hAnsi="Segoe UI" w:cs="Segoe UI"/>
        </w:rPr>
        <w:t>E</w:t>
      </w:r>
      <w:r w:rsidR="001E382C" w:rsidRPr="00D644E9">
        <w:rPr>
          <w:rFonts w:ascii="Segoe UI" w:hAnsi="Segoe UI" w:cs="Segoe UI"/>
        </w:rPr>
        <w:t xml:space="preserve">xperience reports </w:t>
      </w:r>
      <w:r w:rsidR="00EC617D" w:rsidRPr="00D644E9">
        <w:rPr>
          <w:rFonts w:ascii="Segoe UI" w:hAnsi="Segoe UI" w:cs="Segoe UI"/>
        </w:rPr>
        <w:t>must be</w:t>
      </w:r>
      <w:r w:rsidR="001E382C" w:rsidRPr="00D644E9">
        <w:rPr>
          <w:rFonts w:ascii="Segoe UI" w:hAnsi="Segoe UI" w:cs="Segoe UI"/>
        </w:rPr>
        <w:t xml:space="preserve"> filed under the same TOI as the corresponding rate filing.</w:t>
      </w:r>
    </w:p>
    <w:p w14:paraId="693CA686" w14:textId="651B2DD0" w:rsidR="003F2799" w:rsidRDefault="003F2799">
      <w:pPr>
        <w:pStyle w:val="ListParagraph"/>
        <w:numPr>
          <w:ilvl w:val="1"/>
          <w:numId w:val="3"/>
        </w:numPr>
        <w:spacing w:after="0"/>
        <w:ind w:left="1080"/>
        <w:rPr>
          <w:rFonts w:ascii="Segoe UI" w:hAnsi="Segoe UI" w:cs="Segoe UI"/>
        </w:rPr>
      </w:pPr>
      <w:r>
        <w:rPr>
          <w:rFonts w:ascii="Segoe UI" w:hAnsi="Segoe UI" w:cs="Segoe UI"/>
        </w:rPr>
        <w:t>Filings submitted under TOI LTC06 Long Term Care – Other:</w:t>
      </w:r>
    </w:p>
    <w:p w14:paraId="14BA5753" w14:textId="291890B4" w:rsidR="003F2799" w:rsidRDefault="003F2799">
      <w:pPr>
        <w:pStyle w:val="ListParagraph"/>
        <w:numPr>
          <w:ilvl w:val="0"/>
          <w:numId w:val="26"/>
        </w:numPr>
        <w:spacing w:after="0"/>
        <w:ind w:left="1620"/>
        <w:rPr>
          <w:rFonts w:ascii="Segoe UI" w:hAnsi="Segoe UI" w:cs="Segoe UI"/>
        </w:rPr>
      </w:pPr>
      <w:r>
        <w:rPr>
          <w:rFonts w:ascii="Segoe UI" w:hAnsi="Segoe UI" w:cs="Segoe UI"/>
        </w:rPr>
        <w:t>Revised rate filings must be submitted under the same TOI as the prior filings. If the prior filings were submitted under TOI LTC06,</w:t>
      </w:r>
      <w:r w:rsidR="001153B7">
        <w:rPr>
          <w:rFonts w:ascii="Segoe UI" w:hAnsi="Segoe UI" w:cs="Segoe UI"/>
        </w:rPr>
        <w:t xml:space="preserve"> include the reasons for this TOI selection </w:t>
      </w:r>
      <w:r>
        <w:rPr>
          <w:rFonts w:ascii="Segoe UI" w:hAnsi="Segoe UI" w:cs="Segoe UI"/>
        </w:rPr>
        <w:t>in the introduction or scope section of the memorandum.</w:t>
      </w:r>
    </w:p>
    <w:p w14:paraId="3E604E18" w14:textId="77777777" w:rsidR="0022149E" w:rsidRPr="0022149E" w:rsidRDefault="0022149E" w:rsidP="007A7E08">
      <w:pPr>
        <w:spacing w:after="0"/>
        <w:rPr>
          <w:rFonts w:ascii="Segoe UI" w:hAnsi="Segoe UI" w:cs="Segoe UI"/>
        </w:rPr>
      </w:pPr>
    </w:p>
    <w:p w14:paraId="63BF9BAE" w14:textId="4BB55A6C" w:rsidR="005E23F7" w:rsidRPr="00FD0E5E" w:rsidRDefault="0022149E" w:rsidP="005134E1">
      <w:pPr>
        <w:pStyle w:val="Heading1"/>
        <w:rPr>
          <w:b/>
          <w:sz w:val="22"/>
          <w:szCs w:val="22"/>
        </w:rPr>
      </w:pPr>
      <w:bookmarkStart w:id="5" w:name="_Toc159401247"/>
      <w:r w:rsidRPr="00FD0E5E">
        <w:rPr>
          <w:b/>
          <w:sz w:val="22"/>
          <w:szCs w:val="22"/>
        </w:rPr>
        <w:t xml:space="preserve">Is the rate filing for </w:t>
      </w:r>
      <w:r w:rsidR="003A3758" w:rsidRPr="00FD0E5E">
        <w:rPr>
          <w:b/>
          <w:sz w:val="22"/>
          <w:szCs w:val="22"/>
        </w:rPr>
        <w:t xml:space="preserve">Compact LTC </w:t>
      </w:r>
      <w:r w:rsidRPr="00FD0E5E">
        <w:rPr>
          <w:b/>
          <w:sz w:val="22"/>
          <w:szCs w:val="22"/>
        </w:rPr>
        <w:t xml:space="preserve">policies </w:t>
      </w:r>
      <w:r w:rsidR="003A3758" w:rsidRPr="00FD0E5E">
        <w:rPr>
          <w:b/>
          <w:sz w:val="22"/>
          <w:szCs w:val="22"/>
        </w:rPr>
        <w:t>wi</w:t>
      </w:r>
      <w:r w:rsidRPr="00FD0E5E">
        <w:rPr>
          <w:b/>
          <w:sz w:val="22"/>
          <w:szCs w:val="22"/>
        </w:rPr>
        <w:t>th an increase greater than 15%?</w:t>
      </w:r>
      <w:bookmarkEnd w:id="5"/>
    </w:p>
    <w:p w14:paraId="76838846" w14:textId="2F0FCBC6" w:rsidR="00350CAE" w:rsidRDefault="00350CAE">
      <w:pPr>
        <w:pStyle w:val="ListParagraph"/>
        <w:numPr>
          <w:ilvl w:val="0"/>
          <w:numId w:val="23"/>
        </w:numPr>
        <w:spacing w:after="0"/>
        <w:ind w:left="1080"/>
        <w:rPr>
          <w:rFonts w:ascii="Segoe UI" w:hAnsi="Segoe UI" w:cs="Segoe UI"/>
        </w:rPr>
      </w:pPr>
      <w:r w:rsidRPr="00FD0E5E">
        <w:rPr>
          <w:rFonts w:ascii="Segoe UI" w:hAnsi="Segoe UI" w:cs="Segoe UI"/>
        </w:rPr>
        <w:t>If yes, please clarify this in the rate filing.</w:t>
      </w:r>
    </w:p>
    <w:p w14:paraId="7C4789F9" w14:textId="312D9A00" w:rsidR="0022149E" w:rsidRPr="000B45A1" w:rsidRDefault="00FD0E5E" w:rsidP="000B45A1">
      <w:pPr>
        <w:pStyle w:val="ListParagraph"/>
        <w:numPr>
          <w:ilvl w:val="0"/>
          <w:numId w:val="23"/>
        </w:numPr>
        <w:spacing w:after="0"/>
        <w:ind w:left="1080"/>
        <w:rPr>
          <w:rFonts w:ascii="Segoe UI" w:hAnsi="Segoe UI" w:cs="Segoe UI"/>
        </w:rPr>
      </w:pPr>
      <w:r w:rsidRPr="000B45A1">
        <w:rPr>
          <w:rFonts w:ascii="Segoe UI" w:hAnsi="Segoe UI" w:cs="Segoe UI"/>
        </w:rPr>
        <w:t xml:space="preserve">The Compact allows for new rate manuals to be filed for the same policy forms. The policy issue date appears to be the defining characteristic of determining the applicable manual to quote. </w:t>
      </w:r>
      <w:r w:rsidR="000B45A1" w:rsidRPr="000B45A1">
        <w:rPr>
          <w:rFonts w:ascii="Segoe UI" w:hAnsi="Segoe UI" w:cs="Segoe UI"/>
        </w:rPr>
        <w:t>Consequently</w:t>
      </w:r>
      <w:r w:rsidRPr="000B45A1">
        <w:rPr>
          <w:rFonts w:ascii="Segoe UI" w:hAnsi="Segoe UI" w:cs="Segoe UI"/>
        </w:rPr>
        <w:t>, multiple rate manuals may migrate to state</w:t>
      </w:r>
      <w:r w:rsidR="00755AE7">
        <w:rPr>
          <w:rFonts w:ascii="Segoe UI" w:hAnsi="Segoe UI" w:cs="Segoe UI"/>
        </w:rPr>
        <w:t>-</w:t>
      </w:r>
      <w:r w:rsidRPr="000B45A1">
        <w:rPr>
          <w:rFonts w:ascii="Segoe UI" w:hAnsi="Segoe UI" w:cs="Segoe UI"/>
        </w:rPr>
        <w:t xml:space="preserve">based filings </w:t>
      </w:r>
      <w:r w:rsidR="00755AE7">
        <w:rPr>
          <w:rFonts w:ascii="Segoe UI" w:hAnsi="Segoe UI" w:cs="Segoe UI"/>
        </w:rPr>
        <w:t xml:space="preserve">when policy forms </w:t>
      </w:r>
      <w:r w:rsidRPr="000B45A1">
        <w:rPr>
          <w:rFonts w:ascii="Segoe UI" w:hAnsi="Segoe UI" w:cs="Segoe UI"/>
        </w:rPr>
        <w:t>need an increase greater than 15%.</w:t>
      </w:r>
      <w:r w:rsidR="000B45A1" w:rsidRPr="000B45A1">
        <w:rPr>
          <w:rFonts w:ascii="Segoe UI" w:hAnsi="Segoe UI" w:cs="Segoe UI"/>
        </w:rPr>
        <w:t xml:space="preserve"> </w:t>
      </w:r>
      <w:r w:rsidR="000B45A1">
        <w:rPr>
          <w:rFonts w:ascii="Segoe UI" w:hAnsi="Segoe UI" w:cs="Segoe UI"/>
        </w:rPr>
        <w:t xml:space="preserve">Issues to review and </w:t>
      </w:r>
      <w:r w:rsidR="00BD4AFB" w:rsidRPr="000B45A1">
        <w:rPr>
          <w:rFonts w:ascii="Segoe UI" w:hAnsi="Segoe UI" w:cs="Segoe UI"/>
        </w:rPr>
        <w:t>possibl</w:t>
      </w:r>
      <w:r w:rsidR="00EF1768">
        <w:rPr>
          <w:rFonts w:ascii="Segoe UI" w:hAnsi="Segoe UI" w:cs="Segoe UI"/>
        </w:rPr>
        <w:t>y</w:t>
      </w:r>
      <w:r w:rsidR="00BD4AFB" w:rsidRPr="000B45A1">
        <w:rPr>
          <w:rFonts w:ascii="Segoe UI" w:hAnsi="Segoe UI" w:cs="Segoe UI"/>
        </w:rPr>
        <w:t xml:space="preserve"> change include:</w:t>
      </w:r>
    </w:p>
    <w:p w14:paraId="02F2BD90" w14:textId="01829425"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Each rate manual must clearly indicate the process for </w:t>
      </w:r>
      <w:r w:rsidR="00755AE7">
        <w:rPr>
          <w:rFonts w:ascii="Segoe UI" w:hAnsi="Segoe UI" w:cs="Segoe UI"/>
        </w:rPr>
        <w:t>identifying</w:t>
      </w:r>
      <w:r>
        <w:rPr>
          <w:rFonts w:ascii="Segoe UI" w:hAnsi="Segoe UI" w:cs="Segoe UI"/>
        </w:rPr>
        <w:t xml:space="preserve"> </w:t>
      </w:r>
      <w:r w:rsidR="00755AE7">
        <w:rPr>
          <w:rFonts w:ascii="Segoe UI" w:hAnsi="Segoe UI" w:cs="Segoe UI"/>
        </w:rPr>
        <w:t>relevant</w:t>
      </w:r>
      <w:r w:rsidR="0061314C">
        <w:rPr>
          <w:rFonts w:ascii="Segoe UI" w:hAnsi="Segoe UI" w:cs="Segoe UI"/>
        </w:rPr>
        <w:t xml:space="preserve"> </w:t>
      </w:r>
      <w:r>
        <w:rPr>
          <w:rFonts w:ascii="Segoe UI" w:hAnsi="Segoe UI" w:cs="Segoe UI"/>
        </w:rPr>
        <w:t>policyholders. This includes identifying the applicable rate manual submitted in the Compact filing.</w:t>
      </w:r>
    </w:p>
    <w:p w14:paraId="7F9DF038" w14:textId="0AB08E16" w:rsidR="000B45A1" w:rsidRDefault="000B45A1">
      <w:pPr>
        <w:pStyle w:val="ListParagraph"/>
        <w:numPr>
          <w:ilvl w:val="0"/>
          <w:numId w:val="27"/>
        </w:numPr>
        <w:spacing w:after="0"/>
        <w:ind w:left="1620"/>
        <w:rPr>
          <w:rFonts w:ascii="Segoe UI" w:hAnsi="Segoe UI" w:cs="Segoe UI"/>
        </w:rPr>
      </w:pPr>
      <w:r>
        <w:rPr>
          <w:rFonts w:ascii="Segoe UI" w:hAnsi="Segoe UI" w:cs="Segoe UI"/>
        </w:rPr>
        <w:t>Different rate manuals for the same policy forms must be pooled in a single rate filing.</w:t>
      </w:r>
    </w:p>
    <w:p w14:paraId="652C21F9" w14:textId="2AA3413C" w:rsidR="000B45A1" w:rsidRPr="00FD0E5E" w:rsidRDefault="000B45A1">
      <w:pPr>
        <w:pStyle w:val="ListParagraph"/>
        <w:numPr>
          <w:ilvl w:val="0"/>
          <w:numId w:val="27"/>
        </w:numPr>
        <w:spacing w:after="0"/>
        <w:ind w:left="1620"/>
        <w:rPr>
          <w:rFonts w:ascii="Segoe UI" w:hAnsi="Segoe UI" w:cs="Segoe UI"/>
        </w:rPr>
      </w:pPr>
      <w:r>
        <w:rPr>
          <w:rFonts w:ascii="Segoe UI" w:hAnsi="Segoe UI" w:cs="Segoe UI"/>
        </w:rPr>
        <w:t xml:space="preserve">Include </w:t>
      </w:r>
      <w:r w:rsidR="00214FFD" w:rsidRPr="000B45A1">
        <w:rPr>
          <w:rFonts w:ascii="Segoe UI" w:hAnsi="Segoe UI" w:cs="Segoe UI"/>
        </w:rPr>
        <w:t>an</w:t>
      </w:r>
      <w:r w:rsidRPr="000B45A1">
        <w:rPr>
          <w:rFonts w:ascii="Segoe UI" w:hAnsi="Segoe UI" w:cs="Segoe UI"/>
        </w:rPr>
        <w:t xml:space="preserve"> exhibit, as Supporting Documentation, comparing the rate manuals in this filing and </w:t>
      </w:r>
      <w:r w:rsidR="002E4E27">
        <w:rPr>
          <w:rFonts w:ascii="Segoe UI" w:hAnsi="Segoe UI" w:cs="Segoe UI"/>
        </w:rPr>
        <w:t xml:space="preserve">the tracking number of </w:t>
      </w:r>
      <w:r w:rsidR="00D644E9">
        <w:rPr>
          <w:rFonts w:ascii="Segoe UI" w:hAnsi="Segoe UI" w:cs="Segoe UI"/>
        </w:rPr>
        <w:t xml:space="preserve">any other </w:t>
      </w:r>
      <w:r w:rsidR="002E4E27">
        <w:rPr>
          <w:rFonts w:ascii="Segoe UI" w:hAnsi="Segoe UI" w:cs="Segoe UI"/>
        </w:rPr>
        <w:t xml:space="preserve">Washington </w:t>
      </w:r>
      <w:r w:rsidRPr="000B45A1">
        <w:rPr>
          <w:rFonts w:ascii="Segoe UI" w:hAnsi="Segoe UI" w:cs="Segoe UI"/>
        </w:rPr>
        <w:t xml:space="preserve">state </w:t>
      </w:r>
      <w:r w:rsidR="00D644E9">
        <w:rPr>
          <w:rFonts w:ascii="Segoe UI" w:hAnsi="Segoe UI" w:cs="Segoe UI"/>
        </w:rPr>
        <w:t xml:space="preserve">rate </w:t>
      </w:r>
      <w:r w:rsidR="001D10E7">
        <w:rPr>
          <w:rFonts w:ascii="Segoe UI" w:hAnsi="Segoe UI" w:cs="Segoe UI"/>
        </w:rPr>
        <w:t>filing</w:t>
      </w:r>
      <w:r w:rsidR="00D644E9">
        <w:rPr>
          <w:rFonts w:ascii="Segoe UI" w:hAnsi="Segoe UI" w:cs="Segoe UI"/>
        </w:rPr>
        <w:t xml:space="preserve">s for the same set of </w:t>
      </w:r>
      <w:r w:rsidR="00755AE7">
        <w:rPr>
          <w:rFonts w:ascii="Segoe UI" w:hAnsi="Segoe UI" w:cs="Segoe UI"/>
        </w:rPr>
        <w:t xml:space="preserve">policy </w:t>
      </w:r>
      <w:r w:rsidR="00D644E9">
        <w:rPr>
          <w:rFonts w:ascii="Segoe UI" w:hAnsi="Segoe UI" w:cs="Segoe UI"/>
        </w:rPr>
        <w:t>forms</w:t>
      </w:r>
      <w:r w:rsidRPr="000B45A1">
        <w:rPr>
          <w:rFonts w:ascii="Segoe UI" w:hAnsi="Segoe UI" w:cs="Segoe UI"/>
        </w:rPr>
        <w:t>. We would like to understand the magnitude of rate and factor differences to merge</w:t>
      </w:r>
      <w:r w:rsidR="00755AE7">
        <w:rPr>
          <w:rFonts w:ascii="Segoe UI" w:hAnsi="Segoe UI" w:cs="Segoe UI"/>
        </w:rPr>
        <w:t>, as much as is feasible,</w:t>
      </w:r>
      <w:r w:rsidRPr="000B45A1">
        <w:rPr>
          <w:rFonts w:ascii="Segoe UI" w:hAnsi="Segoe UI" w:cs="Segoe UI"/>
        </w:rPr>
        <w:t xml:space="preserve"> the rating into </w:t>
      </w:r>
      <w:r w:rsidR="00755AE7">
        <w:rPr>
          <w:rFonts w:ascii="Segoe UI" w:hAnsi="Segoe UI" w:cs="Segoe UI"/>
        </w:rPr>
        <w:t xml:space="preserve">a </w:t>
      </w:r>
      <w:r w:rsidRPr="000B45A1">
        <w:rPr>
          <w:rFonts w:ascii="Segoe UI" w:hAnsi="Segoe UI" w:cs="Segoe UI"/>
        </w:rPr>
        <w:t xml:space="preserve">common </w:t>
      </w:r>
      <w:r w:rsidR="00755AE7">
        <w:rPr>
          <w:rFonts w:ascii="Segoe UI" w:hAnsi="Segoe UI" w:cs="Segoe UI"/>
        </w:rPr>
        <w:t xml:space="preserve">set of </w:t>
      </w:r>
      <w:r w:rsidRPr="000B45A1">
        <w:rPr>
          <w:rFonts w:ascii="Segoe UI" w:hAnsi="Segoe UI" w:cs="Segoe UI"/>
        </w:rPr>
        <w:t xml:space="preserve">rate and factor tables </w:t>
      </w:r>
      <w:r w:rsidR="00755AE7">
        <w:rPr>
          <w:rFonts w:ascii="Segoe UI" w:hAnsi="Segoe UI" w:cs="Segoe UI"/>
        </w:rPr>
        <w:t xml:space="preserve">that apply </w:t>
      </w:r>
      <w:r w:rsidRPr="000B45A1">
        <w:rPr>
          <w:rFonts w:ascii="Segoe UI" w:hAnsi="Segoe UI" w:cs="Segoe UI"/>
        </w:rPr>
        <w:t>to all policyholders.</w:t>
      </w:r>
    </w:p>
    <w:p w14:paraId="34304F97" w14:textId="21B50770"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For </w:t>
      </w:r>
      <w:r w:rsidR="00D741F4">
        <w:rPr>
          <w:rFonts w:ascii="Segoe UI" w:hAnsi="Segoe UI" w:cs="Segoe UI"/>
        </w:rPr>
        <w:t xml:space="preserve">applicable </w:t>
      </w:r>
      <w:r>
        <w:rPr>
          <w:rFonts w:ascii="Segoe UI" w:hAnsi="Segoe UI" w:cs="Segoe UI"/>
        </w:rPr>
        <w:t xml:space="preserve">individual </w:t>
      </w:r>
      <w:r w:rsidR="00D741F4">
        <w:rPr>
          <w:rFonts w:ascii="Segoe UI" w:hAnsi="Segoe UI" w:cs="Segoe UI"/>
        </w:rPr>
        <w:t>rate filings, i</w:t>
      </w:r>
      <w:r>
        <w:rPr>
          <w:rFonts w:ascii="Segoe UI" w:hAnsi="Segoe UI" w:cs="Segoe UI"/>
        </w:rPr>
        <w:t xml:space="preserve">nclude </w:t>
      </w:r>
      <w:r w:rsidRPr="000B45A1">
        <w:rPr>
          <w:rFonts w:ascii="Segoe UI" w:hAnsi="Segoe UI" w:cs="Segoe UI"/>
        </w:rPr>
        <w:t>an exhibit showing the distribution of W</w:t>
      </w:r>
      <w:r w:rsidR="00755AE7">
        <w:rPr>
          <w:rFonts w:ascii="Segoe UI" w:hAnsi="Segoe UI" w:cs="Segoe UI"/>
        </w:rPr>
        <w:t>ashington</w:t>
      </w:r>
      <w:r w:rsidRPr="000B45A1">
        <w:rPr>
          <w:rFonts w:ascii="Segoe UI" w:hAnsi="Segoe UI" w:cs="Segoe UI"/>
        </w:rPr>
        <w:t xml:space="preserve"> policyholders who have various group, worksite, and association discount factors. We would like to get an idea of </w:t>
      </w:r>
      <w:r w:rsidR="00755AE7">
        <w:rPr>
          <w:rFonts w:ascii="Segoe UI" w:hAnsi="Segoe UI" w:cs="Segoe UI"/>
        </w:rPr>
        <w:t>the</w:t>
      </w:r>
      <w:r w:rsidRPr="000B45A1">
        <w:rPr>
          <w:rFonts w:ascii="Segoe UI" w:hAnsi="Segoe UI" w:cs="Segoe UI"/>
        </w:rPr>
        <w:t xml:space="preserve"> exten</w:t>
      </w:r>
      <w:r w:rsidR="00755AE7">
        <w:rPr>
          <w:rFonts w:ascii="Segoe UI" w:hAnsi="Segoe UI" w:cs="Segoe UI"/>
        </w:rPr>
        <w:t>t of</w:t>
      </w:r>
      <w:r w:rsidRPr="000B45A1">
        <w:rPr>
          <w:rFonts w:ascii="Segoe UI" w:hAnsi="Segoe UI" w:cs="Segoe UI"/>
        </w:rPr>
        <w:t xml:space="preserve"> group rate adjustments </w:t>
      </w:r>
      <w:r w:rsidR="00755AE7">
        <w:rPr>
          <w:rFonts w:ascii="Segoe UI" w:hAnsi="Segoe UI" w:cs="Segoe UI"/>
        </w:rPr>
        <w:t xml:space="preserve">that </w:t>
      </w:r>
      <w:r w:rsidRPr="000B45A1">
        <w:rPr>
          <w:rFonts w:ascii="Segoe UI" w:hAnsi="Segoe UI" w:cs="Segoe UI"/>
        </w:rPr>
        <w:t>have been applied to these individual policies.</w:t>
      </w:r>
    </w:p>
    <w:p w14:paraId="0D7ACFB9" w14:textId="0F4DBBF5" w:rsidR="00374FA9" w:rsidRPr="00FD0E5E" w:rsidRDefault="00374FA9">
      <w:pPr>
        <w:pStyle w:val="ListParagraph"/>
        <w:numPr>
          <w:ilvl w:val="0"/>
          <w:numId w:val="27"/>
        </w:numPr>
        <w:spacing w:after="0"/>
        <w:ind w:left="1620"/>
        <w:rPr>
          <w:rFonts w:ascii="Segoe UI" w:hAnsi="Segoe UI" w:cs="Segoe UI"/>
        </w:rPr>
      </w:pPr>
      <w:r w:rsidRPr="00FD0E5E">
        <w:rPr>
          <w:rFonts w:ascii="Segoe UI" w:hAnsi="Segoe UI" w:cs="Segoe UI"/>
        </w:rPr>
        <w:t>All underwriting adjustments, class factors, and discount factors must be clearly defined in the rate manual.</w:t>
      </w:r>
    </w:p>
    <w:p w14:paraId="741ED2BE" w14:textId="3C231B09"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lastRenderedPageBreak/>
        <w:t xml:space="preserve">All future rate changes must be submitted </w:t>
      </w:r>
      <w:r w:rsidR="00394854" w:rsidRPr="00FD0E5E">
        <w:rPr>
          <w:rFonts w:ascii="Segoe UI" w:hAnsi="Segoe UI" w:cs="Segoe UI"/>
        </w:rPr>
        <w:t xml:space="preserve">to the </w:t>
      </w:r>
      <w:r w:rsidRPr="00FD0E5E">
        <w:rPr>
          <w:rFonts w:ascii="Segoe UI" w:hAnsi="Segoe UI" w:cs="Segoe UI"/>
        </w:rPr>
        <w:t xml:space="preserve">Washington </w:t>
      </w:r>
      <w:r w:rsidR="00350CAE" w:rsidRPr="00FD0E5E">
        <w:rPr>
          <w:rFonts w:ascii="Segoe UI" w:hAnsi="Segoe UI" w:cs="Segoe UI"/>
        </w:rPr>
        <w:t xml:space="preserve">State </w:t>
      </w:r>
      <w:r w:rsidR="00394854" w:rsidRPr="00FD0E5E">
        <w:rPr>
          <w:rFonts w:ascii="Segoe UI" w:hAnsi="Segoe UI" w:cs="Segoe UI"/>
        </w:rPr>
        <w:t xml:space="preserve">Office of the Insurance Commissioner </w:t>
      </w:r>
      <w:r w:rsidRPr="00FD0E5E">
        <w:rPr>
          <w:rFonts w:ascii="Segoe UI" w:hAnsi="Segoe UI" w:cs="Segoe UI"/>
        </w:rPr>
        <w:t>rather than the Compact.</w:t>
      </w:r>
    </w:p>
    <w:p w14:paraId="3A0EF433" w14:textId="2D78C68D"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t xml:space="preserve">Submit a copy of the applicable forms </w:t>
      </w:r>
      <w:r w:rsidR="00BE365F" w:rsidRPr="00FD0E5E">
        <w:rPr>
          <w:rFonts w:ascii="Segoe UI" w:hAnsi="Segoe UI" w:cs="Segoe UI"/>
        </w:rPr>
        <w:t xml:space="preserve">previously approved by the Compact </w:t>
      </w:r>
      <w:r w:rsidRPr="00FD0E5E">
        <w:rPr>
          <w:rFonts w:ascii="Segoe UI" w:hAnsi="Segoe UI" w:cs="Segoe UI"/>
        </w:rPr>
        <w:t xml:space="preserve">as Supporting Documentation in SERFF in the initial Washington </w:t>
      </w:r>
      <w:r w:rsidR="00350CAE" w:rsidRPr="00FD0E5E">
        <w:rPr>
          <w:rFonts w:ascii="Segoe UI" w:hAnsi="Segoe UI" w:cs="Segoe UI"/>
        </w:rPr>
        <w:t xml:space="preserve">State </w:t>
      </w:r>
      <w:r w:rsidRPr="00FD0E5E">
        <w:rPr>
          <w:rFonts w:ascii="Segoe UI" w:hAnsi="Segoe UI" w:cs="Segoe UI"/>
        </w:rPr>
        <w:t xml:space="preserve">rate filing. This is only for documentation </w:t>
      </w:r>
      <w:r w:rsidR="00457335" w:rsidRPr="00FD0E5E">
        <w:rPr>
          <w:rFonts w:ascii="Segoe UI" w:hAnsi="Segoe UI" w:cs="Segoe UI"/>
        </w:rPr>
        <w:t xml:space="preserve">of the policy information for our </w:t>
      </w:r>
      <w:r w:rsidR="00394B58" w:rsidRPr="00FD0E5E">
        <w:rPr>
          <w:rFonts w:ascii="Segoe UI" w:hAnsi="Segoe UI" w:cs="Segoe UI"/>
        </w:rPr>
        <w:t xml:space="preserve">state </w:t>
      </w:r>
      <w:r w:rsidR="00457335" w:rsidRPr="00FD0E5E">
        <w:rPr>
          <w:rFonts w:ascii="Segoe UI" w:hAnsi="Segoe UI" w:cs="Segoe UI"/>
        </w:rPr>
        <w:t xml:space="preserve">systems. </w:t>
      </w:r>
      <w:r w:rsidR="00EF1768">
        <w:rPr>
          <w:rFonts w:ascii="Segoe UI" w:hAnsi="Segoe UI" w:cs="Segoe UI"/>
        </w:rPr>
        <w:t>Compact-approved</w:t>
      </w:r>
      <w:r w:rsidR="00EF1768" w:rsidRPr="00FD0E5E">
        <w:rPr>
          <w:rFonts w:ascii="Segoe UI" w:hAnsi="Segoe UI" w:cs="Segoe UI"/>
        </w:rPr>
        <w:t xml:space="preserve"> </w:t>
      </w:r>
      <w:r w:rsidR="00457335" w:rsidRPr="00FD0E5E">
        <w:rPr>
          <w:rFonts w:ascii="Segoe UI" w:hAnsi="Segoe UI" w:cs="Segoe UI"/>
        </w:rPr>
        <w:t>forms will not be re-reviewed.</w:t>
      </w:r>
      <w:r w:rsidR="007F142D" w:rsidRPr="00FD0E5E">
        <w:rPr>
          <w:rFonts w:ascii="Segoe UI" w:hAnsi="Segoe UI" w:cs="Segoe UI"/>
        </w:rPr>
        <w:t xml:space="preserve"> Note: all </w:t>
      </w:r>
      <w:r w:rsidR="00D644E9">
        <w:rPr>
          <w:rFonts w:ascii="Segoe UI" w:hAnsi="Segoe UI" w:cs="Segoe UI"/>
        </w:rPr>
        <w:t xml:space="preserve">applicable </w:t>
      </w:r>
      <w:r w:rsidR="00F31132">
        <w:rPr>
          <w:rFonts w:ascii="Segoe UI" w:hAnsi="Segoe UI" w:cs="Segoe UI"/>
        </w:rPr>
        <w:t>Compact-approved</w:t>
      </w:r>
      <w:r w:rsidR="007F142D" w:rsidRPr="00FD0E5E">
        <w:rPr>
          <w:rFonts w:ascii="Segoe UI" w:hAnsi="Segoe UI" w:cs="Segoe UI"/>
        </w:rPr>
        <w:t xml:space="preserve"> </w:t>
      </w:r>
      <w:r w:rsidR="000E4BF8">
        <w:rPr>
          <w:rFonts w:ascii="Segoe UI" w:hAnsi="Segoe UI" w:cs="Segoe UI"/>
        </w:rPr>
        <w:t xml:space="preserve">forms </w:t>
      </w:r>
      <w:r w:rsidR="007F142D" w:rsidRPr="00FD0E5E">
        <w:rPr>
          <w:rFonts w:ascii="Segoe UI" w:hAnsi="Segoe UI" w:cs="Segoe UI"/>
        </w:rPr>
        <w:t>should be submitted.</w:t>
      </w:r>
    </w:p>
    <w:p w14:paraId="02017E4D" w14:textId="6CB89F0F" w:rsidR="00457335" w:rsidRPr="00FD0E5E" w:rsidRDefault="00457335">
      <w:pPr>
        <w:pStyle w:val="ListParagraph"/>
        <w:numPr>
          <w:ilvl w:val="0"/>
          <w:numId w:val="23"/>
        </w:numPr>
        <w:spacing w:after="0"/>
        <w:ind w:left="1080"/>
        <w:rPr>
          <w:rFonts w:ascii="Segoe UI" w:hAnsi="Segoe UI" w:cs="Segoe UI"/>
        </w:rPr>
      </w:pPr>
      <w:r w:rsidRPr="00FD0E5E">
        <w:rPr>
          <w:rFonts w:ascii="Segoe UI" w:hAnsi="Segoe UI" w:cs="Segoe UI"/>
        </w:rPr>
        <w:t xml:space="preserve">Any subsequent or revised forms must be filed in Washington </w:t>
      </w:r>
      <w:r w:rsidR="00350CAE" w:rsidRPr="00FD0E5E">
        <w:rPr>
          <w:rFonts w:ascii="Segoe UI" w:hAnsi="Segoe UI" w:cs="Segoe UI"/>
        </w:rPr>
        <w:t xml:space="preserve">State </w:t>
      </w:r>
      <w:r w:rsidRPr="00FD0E5E">
        <w:rPr>
          <w:rFonts w:ascii="Segoe UI" w:hAnsi="Segoe UI" w:cs="Segoe UI"/>
        </w:rPr>
        <w:t>in a separate form filing.</w:t>
      </w:r>
    </w:p>
    <w:p w14:paraId="5EDA1781" w14:textId="77777777" w:rsidR="00393C12" w:rsidRPr="00773A96" w:rsidRDefault="00393C12" w:rsidP="007A7E08">
      <w:pPr>
        <w:spacing w:after="0"/>
        <w:rPr>
          <w:rFonts w:ascii="Segoe UI" w:hAnsi="Segoe UI" w:cs="Segoe UI"/>
          <w:b/>
        </w:rPr>
      </w:pPr>
    </w:p>
    <w:p w14:paraId="1E233F57" w14:textId="5F7E9304" w:rsidR="00406BD0" w:rsidRPr="006B5BEB" w:rsidRDefault="006B5BEB" w:rsidP="006B5BEB">
      <w:pPr>
        <w:pStyle w:val="Heading1"/>
        <w:rPr>
          <w:b/>
          <w:sz w:val="22"/>
          <w:szCs w:val="22"/>
        </w:rPr>
      </w:pPr>
      <w:bookmarkStart w:id="6" w:name="_Toc159401248"/>
      <w:r>
        <w:rPr>
          <w:b/>
          <w:sz w:val="22"/>
          <w:szCs w:val="22"/>
        </w:rPr>
        <w:t>Can the final billed premium</w:t>
      </w:r>
      <w:r w:rsidR="003120FA" w:rsidRPr="006B5BEB">
        <w:rPr>
          <w:b/>
          <w:sz w:val="22"/>
          <w:szCs w:val="22"/>
        </w:rPr>
        <w:t xml:space="preserve"> rate</w:t>
      </w:r>
      <w:r>
        <w:rPr>
          <w:b/>
          <w:sz w:val="22"/>
          <w:szCs w:val="22"/>
        </w:rPr>
        <w:t>s</w:t>
      </w:r>
      <w:r w:rsidR="006836FF" w:rsidRPr="006B5BEB">
        <w:rPr>
          <w:b/>
          <w:sz w:val="22"/>
          <w:szCs w:val="22"/>
        </w:rPr>
        <w:t xml:space="preserve"> </w:t>
      </w:r>
      <w:r>
        <w:rPr>
          <w:b/>
          <w:sz w:val="22"/>
          <w:szCs w:val="22"/>
        </w:rPr>
        <w:t>be determined from the rate manual</w:t>
      </w:r>
      <w:r w:rsidR="003120FA" w:rsidRPr="006B5BEB">
        <w:rPr>
          <w:b/>
          <w:sz w:val="22"/>
          <w:szCs w:val="22"/>
        </w:rPr>
        <w:t>?</w:t>
      </w:r>
      <w:bookmarkEnd w:id="6"/>
    </w:p>
    <w:p w14:paraId="19DF7B56" w14:textId="5913F3F8" w:rsidR="003120FA" w:rsidRPr="00406BD0" w:rsidRDefault="003120FA" w:rsidP="007A7E08">
      <w:pPr>
        <w:pStyle w:val="ListParagraph"/>
        <w:spacing w:after="0"/>
        <w:rPr>
          <w:rFonts w:ascii="Segoe UI" w:hAnsi="Segoe UI" w:cs="Segoe UI"/>
          <w:b/>
        </w:rPr>
      </w:pPr>
      <w:r w:rsidRPr="00406BD0">
        <w:rPr>
          <w:rFonts w:ascii="Segoe UI" w:hAnsi="Segoe UI" w:cs="Segoe UI"/>
        </w:rPr>
        <w:t xml:space="preserve">RCW 48.19.010(2) requires that </w:t>
      </w:r>
      <w:r w:rsidR="000920A9" w:rsidRPr="00406BD0">
        <w:rPr>
          <w:rFonts w:ascii="Segoe UI" w:hAnsi="Segoe UI" w:cs="Segoe UI"/>
        </w:rPr>
        <w:t xml:space="preserve">the </w:t>
      </w:r>
      <w:r w:rsidRPr="00406BD0">
        <w:rPr>
          <w:rFonts w:ascii="Segoe UI" w:hAnsi="Segoe UI" w:cs="Segoe UI"/>
        </w:rPr>
        <w:t>manual of classification, manual of rules and rates</w:t>
      </w:r>
      <w:r w:rsidR="00D3451A" w:rsidRPr="00406BD0">
        <w:rPr>
          <w:rFonts w:ascii="Segoe UI" w:hAnsi="Segoe UI" w:cs="Segoe UI"/>
        </w:rPr>
        <w:t>,</w:t>
      </w:r>
      <w:r w:rsidRPr="00406BD0">
        <w:rPr>
          <w:rFonts w:ascii="Segoe UI" w:hAnsi="Segoe UI" w:cs="Segoe UI"/>
        </w:rPr>
        <w:t xml:space="preserve"> and any modification</w:t>
      </w:r>
      <w:r w:rsidR="00D3451A" w:rsidRPr="00406BD0">
        <w:rPr>
          <w:rFonts w:ascii="Segoe UI" w:hAnsi="Segoe UI" w:cs="Segoe UI"/>
        </w:rPr>
        <w:t>s</w:t>
      </w:r>
      <w:r w:rsidRPr="00406BD0">
        <w:rPr>
          <w:rFonts w:ascii="Segoe UI" w:hAnsi="Segoe UI" w:cs="Segoe UI"/>
        </w:rPr>
        <w:t xml:space="preserve"> must be filed </w:t>
      </w:r>
      <w:r w:rsidR="004859AD" w:rsidRPr="00406BD0">
        <w:rPr>
          <w:rFonts w:ascii="Segoe UI" w:hAnsi="Segoe UI" w:cs="Segoe UI"/>
        </w:rPr>
        <w:t xml:space="preserve">BEFORE </w:t>
      </w:r>
      <w:r w:rsidRPr="00406BD0">
        <w:rPr>
          <w:rFonts w:ascii="Segoe UI" w:hAnsi="Segoe UI" w:cs="Segoe UI"/>
        </w:rPr>
        <w:t xml:space="preserve">use. </w:t>
      </w:r>
      <w:r w:rsidR="00394B58">
        <w:rPr>
          <w:rFonts w:ascii="Segoe UI" w:hAnsi="Segoe UI" w:cs="Segoe UI"/>
        </w:rPr>
        <w:t>T</w:t>
      </w:r>
      <w:r w:rsidRPr="00406BD0">
        <w:rPr>
          <w:rFonts w:ascii="Segoe UI" w:hAnsi="Segoe UI" w:cs="Segoe UI"/>
        </w:rPr>
        <w:t>o determine this, the filing must:</w:t>
      </w:r>
    </w:p>
    <w:p w14:paraId="2D8B4844" w14:textId="77777777" w:rsidR="003120FA" w:rsidRPr="00773A96" w:rsidRDefault="006836FF">
      <w:pPr>
        <w:pStyle w:val="ListParagraph"/>
        <w:numPr>
          <w:ilvl w:val="0"/>
          <w:numId w:val="4"/>
        </w:numPr>
        <w:spacing w:after="0"/>
        <w:ind w:left="1080"/>
        <w:rPr>
          <w:rFonts w:ascii="Segoe UI" w:hAnsi="Segoe UI" w:cs="Segoe UI"/>
        </w:rPr>
      </w:pPr>
      <w:r w:rsidRPr="00773A96">
        <w:rPr>
          <w:rFonts w:ascii="Segoe UI" w:hAnsi="Segoe UI" w:cs="Segoe UI"/>
        </w:rPr>
        <w:t>Exclude all ambiguous rating descriptions and ranges from the rate filing.</w:t>
      </w:r>
    </w:p>
    <w:p w14:paraId="5360311E" w14:textId="34445522" w:rsidR="006836FF" w:rsidRPr="00773A96" w:rsidRDefault="007B44FC">
      <w:pPr>
        <w:pStyle w:val="ListParagraph"/>
        <w:numPr>
          <w:ilvl w:val="0"/>
          <w:numId w:val="4"/>
        </w:numPr>
        <w:spacing w:after="0"/>
        <w:ind w:left="1080"/>
        <w:rPr>
          <w:rFonts w:ascii="Segoe UI" w:hAnsi="Segoe UI" w:cs="Segoe UI"/>
        </w:rPr>
      </w:pPr>
      <w:r>
        <w:rPr>
          <w:rFonts w:ascii="Segoe UI" w:hAnsi="Segoe UI" w:cs="Segoe UI"/>
        </w:rPr>
        <w:t>In the rate manual, include all rates, factors (</w:t>
      </w:r>
      <w:r w:rsidR="006836FF" w:rsidRPr="00773A96">
        <w:rPr>
          <w:rFonts w:ascii="Segoe UI" w:hAnsi="Segoe UI" w:cs="Segoe UI"/>
        </w:rPr>
        <w:t xml:space="preserve">including </w:t>
      </w:r>
      <w:r w:rsidR="00084D18">
        <w:rPr>
          <w:rFonts w:ascii="Segoe UI" w:hAnsi="Segoe UI" w:cs="Segoe UI"/>
        </w:rPr>
        <w:t xml:space="preserve">premium </w:t>
      </w:r>
      <w:r w:rsidR="006836FF" w:rsidRPr="00773A96">
        <w:rPr>
          <w:rFonts w:ascii="Segoe UI" w:hAnsi="Segoe UI" w:cs="Segoe UI"/>
        </w:rPr>
        <w:t>modalization factors</w:t>
      </w:r>
      <w:r>
        <w:rPr>
          <w:rFonts w:ascii="Segoe UI" w:hAnsi="Segoe UI" w:cs="Segoe UI"/>
        </w:rPr>
        <w:t>)</w:t>
      </w:r>
      <w:r w:rsidR="006836FF" w:rsidRPr="00773A96">
        <w:rPr>
          <w:rFonts w:ascii="Segoe UI" w:hAnsi="Segoe UI" w:cs="Segoe UI"/>
        </w:rPr>
        <w:t xml:space="preserve">, and the rules </w:t>
      </w:r>
      <w:r>
        <w:rPr>
          <w:rFonts w:ascii="Segoe UI" w:hAnsi="Segoe UI" w:cs="Segoe UI"/>
        </w:rPr>
        <w:t>and formulas for applying them (</w:t>
      </w:r>
      <w:r w:rsidR="006836FF" w:rsidRPr="00773A96">
        <w:rPr>
          <w:rFonts w:ascii="Segoe UI" w:hAnsi="Segoe UI" w:cs="Segoe UI"/>
        </w:rPr>
        <w:t>including r</w:t>
      </w:r>
      <w:r>
        <w:rPr>
          <w:rFonts w:ascii="Segoe UI" w:hAnsi="Segoe UI" w:cs="Segoe UI"/>
        </w:rPr>
        <w:t>ounding rules).</w:t>
      </w:r>
    </w:p>
    <w:p w14:paraId="4F99393F" w14:textId="2FE981F2" w:rsidR="00737185" w:rsidRPr="00773A96" w:rsidRDefault="00737185">
      <w:pPr>
        <w:pStyle w:val="ListParagraph"/>
        <w:numPr>
          <w:ilvl w:val="0"/>
          <w:numId w:val="22"/>
        </w:numPr>
        <w:spacing w:after="0"/>
        <w:ind w:left="1620"/>
        <w:rPr>
          <w:rFonts w:ascii="Segoe UI" w:hAnsi="Segoe UI" w:cs="Segoe UI"/>
        </w:rPr>
      </w:pPr>
      <w:r w:rsidRPr="00773A96">
        <w:rPr>
          <w:rFonts w:ascii="Segoe UI" w:hAnsi="Segoe UI" w:cs="Segoe UI"/>
        </w:rPr>
        <w:t>Note</w:t>
      </w:r>
      <w:r w:rsidR="00D3451A" w:rsidRPr="00773A96">
        <w:rPr>
          <w:rFonts w:ascii="Segoe UI" w:hAnsi="Segoe UI" w:cs="Segoe UI"/>
        </w:rPr>
        <w:t xml:space="preserve">: </w:t>
      </w:r>
      <w:r w:rsidRPr="00773A96">
        <w:rPr>
          <w:rFonts w:ascii="Segoe UI" w:hAnsi="Segoe UI" w:cs="Segoe UI"/>
        </w:rPr>
        <w:t xml:space="preserve">rates must be filed before use per RCW 48.19.010(2). Therefore, the rate manual must account for every rating variation the company uses to calculate the premium charged. Any premium amount that cannot be duplicated exactly using only the rate manual is not </w:t>
      </w:r>
      <w:r w:rsidR="00D3451A" w:rsidRPr="00773A96">
        <w:rPr>
          <w:rFonts w:ascii="Segoe UI" w:hAnsi="Segoe UI" w:cs="Segoe UI"/>
        </w:rPr>
        <w:t xml:space="preserve">considered to be </w:t>
      </w:r>
      <w:r w:rsidRPr="00773A96">
        <w:rPr>
          <w:rFonts w:ascii="Segoe UI" w:hAnsi="Segoe UI" w:cs="Segoe UI"/>
        </w:rPr>
        <w:t>filed and violates RCW 48.19.010(2).</w:t>
      </w:r>
    </w:p>
    <w:p w14:paraId="0EB28734" w14:textId="77777777" w:rsidR="00152C0B" w:rsidRDefault="00737185" w:rsidP="002E0128">
      <w:pPr>
        <w:pStyle w:val="ListParagraph"/>
        <w:numPr>
          <w:ilvl w:val="0"/>
          <w:numId w:val="4"/>
        </w:numPr>
        <w:spacing w:after="120"/>
        <w:ind w:left="1080"/>
        <w:contextualSpacing w:val="0"/>
        <w:rPr>
          <w:rFonts w:ascii="Segoe UI" w:hAnsi="Segoe UI" w:cs="Segoe UI"/>
        </w:rPr>
      </w:pPr>
      <w:r w:rsidRPr="00773A96">
        <w:rPr>
          <w:rFonts w:ascii="Segoe UI" w:hAnsi="Segoe UI" w:cs="Segoe UI"/>
        </w:rPr>
        <w:t xml:space="preserve">Provide a comprehensive illustrative example of a premium calculation based on </w:t>
      </w:r>
      <w:r w:rsidR="000920A9" w:rsidRPr="00773A96">
        <w:rPr>
          <w:rFonts w:ascii="Segoe UI" w:hAnsi="Segoe UI" w:cs="Segoe UI"/>
        </w:rPr>
        <w:t xml:space="preserve">the </w:t>
      </w:r>
      <w:r w:rsidRPr="00773A96">
        <w:rPr>
          <w:rFonts w:ascii="Segoe UI" w:hAnsi="Segoe UI" w:cs="Segoe UI"/>
        </w:rPr>
        <w:t>rate manual. The example should be consistent with the rate manual and include all applicable policy variables, calculation s</w:t>
      </w:r>
      <w:r w:rsidR="00D4512B" w:rsidRPr="00773A96">
        <w:rPr>
          <w:rFonts w:ascii="Segoe UI" w:hAnsi="Segoe UI" w:cs="Segoe UI"/>
        </w:rPr>
        <w:t>teps and rate manual references</w:t>
      </w:r>
      <w:r w:rsidRPr="00773A96">
        <w:rPr>
          <w:rFonts w:ascii="Segoe UI" w:hAnsi="Segoe UI" w:cs="Segoe UI"/>
        </w:rPr>
        <w:t xml:space="preserve"> [RCW 48.19.010(2)]</w:t>
      </w:r>
      <w:r w:rsidR="00D4512B" w:rsidRPr="00773A96">
        <w:rPr>
          <w:rFonts w:ascii="Segoe UI" w:hAnsi="Segoe UI" w:cs="Segoe UI"/>
        </w:rPr>
        <w:t>.</w:t>
      </w:r>
    </w:p>
    <w:p w14:paraId="712B2819" w14:textId="01952C71" w:rsidR="00152C0B" w:rsidRPr="00152C0B" w:rsidRDefault="00152C0B" w:rsidP="00152C0B">
      <w:pPr>
        <w:pStyle w:val="ListParagraph"/>
        <w:spacing w:after="0"/>
        <w:ind w:left="1080"/>
        <w:rPr>
          <w:rFonts w:ascii="Segoe UI" w:hAnsi="Segoe UI" w:cs="Segoe UI"/>
        </w:rPr>
      </w:pPr>
      <w:r>
        <w:rPr>
          <w:rFonts w:ascii="Segoe UI" w:hAnsi="Segoe UI" w:cs="Segoe UI"/>
        </w:rPr>
        <w:t xml:space="preserve">If policies offer a </w:t>
      </w:r>
      <w:r w:rsidR="003E66B5">
        <w:rPr>
          <w:rFonts w:ascii="Segoe UI" w:hAnsi="Segoe UI" w:cs="Segoe UI"/>
        </w:rPr>
        <w:t>Cost-of-Living</w:t>
      </w:r>
      <w:r w:rsidR="0019428B">
        <w:rPr>
          <w:rFonts w:ascii="Segoe UI" w:hAnsi="Segoe UI" w:cs="Segoe UI"/>
        </w:rPr>
        <w:t xml:space="preserve"> Adjustment (</w:t>
      </w:r>
      <w:r>
        <w:rPr>
          <w:rFonts w:ascii="Segoe UI" w:hAnsi="Segoe UI" w:cs="Segoe UI"/>
        </w:rPr>
        <w:t>COLA</w:t>
      </w:r>
      <w:r w:rsidR="0019428B">
        <w:rPr>
          <w:rFonts w:ascii="Segoe UI" w:hAnsi="Segoe UI" w:cs="Segoe UI"/>
        </w:rPr>
        <w:t>)</w:t>
      </w:r>
      <w:r>
        <w:rPr>
          <w:rFonts w:ascii="Segoe UI" w:hAnsi="Segoe UI" w:cs="Segoe UI"/>
        </w:rPr>
        <w:t xml:space="preserve"> benefit increase, i</w:t>
      </w:r>
      <w:r w:rsidRPr="00152C0B">
        <w:rPr>
          <w:rFonts w:ascii="Segoe UI" w:hAnsi="Segoe UI" w:cs="Segoe UI"/>
        </w:rPr>
        <w:t>nclude an example illustrating</w:t>
      </w:r>
      <w:r>
        <w:rPr>
          <w:rFonts w:ascii="Segoe UI" w:hAnsi="Segoe UI" w:cs="Segoe UI"/>
        </w:rPr>
        <w:t xml:space="preserve"> the impact of</w:t>
      </w:r>
      <w:r w:rsidRPr="00152C0B">
        <w:rPr>
          <w:rFonts w:ascii="Segoe UI" w:hAnsi="Segoe UI" w:cs="Segoe UI"/>
        </w:rPr>
        <w:t xml:space="preserve"> a reduction or termination of the COLA benefit increase</w:t>
      </w:r>
      <w:r>
        <w:rPr>
          <w:rFonts w:ascii="Segoe UI" w:hAnsi="Segoe UI" w:cs="Segoe UI"/>
        </w:rPr>
        <w:t>.</w:t>
      </w:r>
      <w:r w:rsidR="00F31132">
        <w:rPr>
          <w:rFonts w:ascii="Segoe UI" w:hAnsi="Segoe UI" w:cs="Segoe UI"/>
        </w:rPr>
        <w:t xml:space="preserve"> Consider the following:</w:t>
      </w:r>
    </w:p>
    <w:p w14:paraId="6C2B9705" w14:textId="028B8336" w:rsidR="00152C0B" w:rsidRPr="00152C0B" w:rsidRDefault="00152C0B">
      <w:pPr>
        <w:pStyle w:val="ListParagraph"/>
        <w:numPr>
          <w:ilvl w:val="0"/>
          <w:numId w:val="28"/>
        </w:numPr>
        <w:spacing w:after="0"/>
        <w:ind w:left="1620"/>
        <w:rPr>
          <w:rFonts w:ascii="Segoe UI" w:hAnsi="Segoe UI" w:cs="Segoe UI"/>
        </w:rPr>
      </w:pPr>
      <w:r w:rsidRPr="00152C0B">
        <w:rPr>
          <w:rFonts w:ascii="Segoe UI" w:hAnsi="Segoe UI" w:cs="Segoe UI"/>
        </w:rPr>
        <w:t xml:space="preserve">Indicate the assumed </w:t>
      </w:r>
      <w:r w:rsidR="00F31132">
        <w:rPr>
          <w:rFonts w:ascii="Segoe UI" w:hAnsi="Segoe UI" w:cs="Segoe UI"/>
        </w:rPr>
        <w:t xml:space="preserve">policy </w:t>
      </w:r>
      <w:r w:rsidRPr="00152C0B">
        <w:rPr>
          <w:rFonts w:ascii="Segoe UI" w:hAnsi="Segoe UI" w:cs="Segoe UI"/>
        </w:rPr>
        <w:t xml:space="preserve">duration at the time the COLA reduction </w:t>
      </w:r>
      <w:r w:rsidR="00F31132">
        <w:rPr>
          <w:rFonts w:ascii="Segoe UI" w:hAnsi="Segoe UI" w:cs="Segoe UI"/>
        </w:rPr>
        <w:t>is implemented</w:t>
      </w:r>
      <w:r w:rsidRPr="00152C0B">
        <w:rPr>
          <w:rFonts w:ascii="Segoe UI" w:hAnsi="Segoe UI" w:cs="Segoe UI"/>
        </w:rPr>
        <w:t>.</w:t>
      </w:r>
    </w:p>
    <w:p w14:paraId="5F4D7C72" w14:textId="1C276470" w:rsid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Does the policyholder have the option to retain the accumulated benefit or reduce the benefit to the original benefit amount? Reducing to the original benefit amount </w:t>
      </w:r>
      <w:r w:rsidRPr="004E11CF">
        <w:rPr>
          <w:rFonts w:ascii="Segoe UI" w:hAnsi="Segoe UI" w:cs="Segoe UI"/>
        </w:rPr>
        <w:t xml:space="preserve">indicates a partial premium refund is warranted due to </w:t>
      </w:r>
      <w:r w:rsidR="00F31132">
        <w:rPr>
          <w:rFonts w:ascii="Segoe UI" w:hAnsi="Segoe UI" w:cs="Segoe UI"/>
        </w:rPr>
        <w:t>eliminating</w:t>
      </w:r>
      <w:r w:rsidRPr="004E11CF">
        <w:rPr>
          <w:rFonts w:ascii="Segoe UI" w:hAnsi="Segoe UI" w:cs="Segoe UI"/>
        </w:rPr>
        <w:t xml:space="preserve"> the accumulat</w:t>
      </w:r>
      <w:r w:rsidR="00F31132">
        <w:rPr>
          <w:rFonts w:ascii="Segoe UI" w:hAnsi="Segoe UI" w:cs="Segoe UI"/>
        </w:rPr>
        <w:t>ed benefit</w:t>
      </w:r>
      <w:r>
        <w:rPr>
          <w:rFonts w:ascii="Segoe UI" w:hAnsi="Segoe UI" w:cs="Segoe UI"/>
        </w:rPr>
        <w:t>.</w:t>
      </w:r>
    </w:p>
    <w:p w14:paraId="65FA258A" w14:textId="256219D9" w:rsidR="004E11CF" w:rsidRP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 you allow a downgrade from compound to simple interest? If so, demonstrate how the </w:t>
      </w:r>
      <w:r w:rsidR="00F31132">
        <w:rPr>
          <w:rFonts w:ascii="Segoe UI" w:hAnsi="Segoe UI" w:cs="Segoe UI"/>
        </w:rPr>
        <w:t>post-downgrade</w:t>
      </w:r>
      <w:r>
        <w:rPr>
          <w:rFonts w:ascii="Segoe UI" w:hAnsi="Segoe UI" w:cs="Segoe UI"/>
        </w:rPr>
        <w:t xml:space="preserve"> benefit amount is determined.</w:t>
      </w:r>
    </w:p>
    <w:p w14:paraId="331DAB8E" w14:textId="57E56487" w:rsidR="00095C32" w:rsidRPr="00773A96" w:rsidRDefault="00095C32">
      <w:pPr>
        <w:pStyle w:val="ListParagraph"/>
        <w:numPr>
          <w:ilvl w:val="0"/>
          <w:numId w:val="4"/>
        </w:numPr>
        <w:spacing w:after="0"/>
        <w:ind w:left="1080"/>
        <w:rPr>
          <w:rFonts w:ascii="Segoe UI" w:hAnsi="Segoe UI" w:cs="Segoe UI"/>
        </w:rPr>
      </w:pPr>
      <w:r w:rsidRPr="00773A96">
        <w:rPr>
          <w:rFonts w:ascii="Segoe UI" w:hAnsi="Segoe UI" w:cs="Segoe UI"/>
        </w:rPr>
        <w:t>Group specific experience rating is not applicable to this type of coverage [RCW 48.19.010(2) and WAC 284-60-040(1)]. Remove all group specific experience rating references from the rate manual and actuarial memo</w:t>
      </w:r>
      <w:r w:rsidR="00151DFB" w:rsidRPr="00773A96">
        <w:rPr>
          <w:rFonts w:ascii="Segoe UI" w:hAnsi="Segoe UI" w:cs="Segoe UI"/>
        </w:rPr>
        <w:t>randum</w:t>
      </w:r>
      <w:r w:rsidRPr="00773A96">
        <w:rPr>
          <w:rFonts w:ascii="Segoe UI" w:hAnsi="Segoe UI" w:cs="Segoe UI"/>
        </w:rPr>
        <w:t>.</w:t>
      </w:r>
    </w:p>
    <w:p w14:paraId="467FCEFC" w14:textId="064FAAEC" w:rsidR="00095C32" w:rsidRPr="00773A96" w:rsidRDefault="00DF2108">
      <w:pPr>
        <w:pStyle w:val="ListParagraph"/>
        <w:numPr>
          <w:ilvl w:val="0"/>
          <w:numId w:val="5"/>
        </w:numPr>
        <w:spacing w:after="0"/>
        <w:ind w:left="1620"/>
        <w:rPr>
          <w:rFonts w:ascii="Segoe UI" w:hAnsi="Segoe UI" w:cs="Segoe UI"/>
        </w:rPr>
      </w:pPr>
      <w:r w:rsidRPr="00DF2108">
        <w:rPr>
          <w:rFonts w:ascii="Segoe UI" w:hAnsi="Segoe UI" w:cs="Segoe UI"/>
        </w:rPr>
        <w:t>Qualified large groups (group size 100+ when the group</w:t>
      </w:r>
      <w:r w:rsidR="003D1872">
        <w:rPr>
          <w:rFonts w:ascii="Segoe UI" w:hAnsi="Segoe UI" w:cs="Segoe UI"/>
        </w:rPr>
        <w:t>/employer</w:t>
      </w:r>
      <w:r w:rsidRPr="00DF2108">
        <w:rPr>
          <w:rFonts w:ascii="Segoe UI" w:hAnsi="Segoe UI" w:cs="Segoe UI"/>
        </w:rPr>
        <w:t xml:space="preserve"> pays more than 50% of the premium [WAC 284-60-060(2) &amp; (3)]) rated using experience and/or non-standard rates and factors, including non-standard commission loads</w:t>
      </w:r>
      <w:r w:rsidR="00567431">
        <w:rPr>
          <w:rFonts w:ascii="Segoe UI" w:hAnsi="Segoe UI" w:cs="Segoe UI"/>
        </w:rPr>
        <w:t xml:space="preserve"> and other allowable adjustment</w:t>
      </w:r>
      <w:r w:rsidRPr="00DF2108">
        <w:rPr>
          <w:rFonts w:ascii="Segoe UI" w:hAnsi="Segoe UI" w:cs="Segoe UI"/>
        </w:rPr>
        <w:t>, are filed separately, as single case/employer filings.</w:t>
      </w:r>
    </w:p>
    <w:p w14:paraId="6454DA15" w14:textId="70315C56" w:rsidR="00D75E61"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t>P</w:t>
      </w:r>
      <w:r w:rsidR="00A74738" w:rsidRPr="00773A96">
        <w:rPr>
          <w:rFonts w:ascii="Segoe UI" w:hAnsi="Segoe UI" w:cs="Segoe UI"/>
        </w:rPr>
        <w:t>rovide the specific rate for the group, not just the experience formula.</w:t>
      </w:r>
    </w:p>
    <w:p w14:paraId="0F27FF17" w14:textId="68204910" w:rsidR="009D6B88"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lastRenderedPageBreak/>
        <w:t>Confirm</w:t>
      </w:r>
      <w:r w:rsidR="00D75E61" w:rsidRPr="00773A96">
        <w:rPr>
          <w:rFonts w:ascii="Segoe UI" w:hAnsi="Segoe UI" w:cs="Segoe UI"/>
        </w:rPr>
        <w:t>, in the actuarial memorandum,</w:t>
      </w:r>
      <w:r w:rsidRPr="00773A96">
        <w:rPr>
          <w:rFonts w:ascii="Segoe UI" w:hAnsi="Segoe UI" w:cs="Segoe UI"/>
        </w:rPr>
        <w:t xml:space="preserve"> that the group meets the</w:t>
      </w:r>
      <w:r w:rsidR="00D75E61" w:rsidRPr="00773A96">
        <w:rPr>
          <w:rFonts w:ascii="Segoe UI" w:hAnsi="Segoe UI" w:cs="Segoe UI"/>
        </w:rPr>
        <w:t xml:space="preserve"> required</w:t>
      </w:r>
      <w:r w:rsidRPr="00773A96">
        <w:rPr>
          <w:rFonts w:ascii="Segoe UI" w:hAnsi="Segoe UI" w:cs="Segoe UI"/>
        </w:rPr>
        <w:t xml:space="preserve"> conditions </w:t>
      </w:r>
      <w:r w:rsidR="00D75E61" w:rsidRPr="00773A96">
        <w:rPr>
          <w:rFonts w:ascii="Segoe UI" w:hAnsi="Segoe UI" w:cs="Segoe UI"/>
        </w:rPr>
        <w:t>for a single employer rate filing</w:t>
      </w:r>
      <w:r w:rsidRPr="00773A96">
        <w:rPr>
          <w:rFonts w:ascii="Segoe UI" w:hAnsi="Segoe UI" w:cs="Segoe UI"/>
        </w:rPr>
        <w:t>.</w:t>
      </w:r>
    </w:p>
    <w:p w14:paraId="41671083" w14:textId="7294F20A" w:rsidR="002C3BE4" w:rsidRDefault="004B748D" w:rsidP="004B748D">
      <w:pPr>
        <w:pStyle w:val="ListParagraph"/>
        <w:numPr>
          <w:ilvl w:val="0"/>
          <w:numId w:val="4"/>
        </w:numPr>
        <w:spacing w:after="0"/>
        <w:ind w:left="1080"/>
        <w:rPr>
          <w:rFonts w:ascii="Segoe UI" w:hAnsi="Segoe UI" w:cs="Segoe UI"/>
        </w:rPr>
      </w:pPr>
      <w:r>
        <w:rPr>
          <w:rFonts w:ascii="Segoe UI" w:hAnsi="Segoe UI" w:cs="Segoe UI"/>
        </w:rPr>
        <w:t xml:space="preserve">Clearly </w:t>
      </w:r>
      <w:r w:rsidR="000A1053">
        <w:rPr>
          <w:rFonts w:ascii="Segoe UI" w:hAnsi="Segoe UI" w:cs="Segoe UI"/>
        </w:rPr>
        <w:t xml:space="preserve">demonstrate and/or </w:t>
      </w:r>
      <w:r>
        <w:rPr>
          <w:rFonts w:ascii="Segoe UI" w:hAnsi="Segoe UI" w:cs="Segoe UI"/>
        </w:rPr>
        <w:t xml:space="preserve">explain the </w:t>
      </w:r>
      <w:r w:rsidR="000A1053">
        <w:rPr>
          <w:rFonts w:ascii="Segoe UI" w:hAnsi="Segoe UI" w:cs="Segoe UI"/>
        </w:rPr>
        <w:t>premium calculations</w:t>
      </w:r>
      <w:r>
        <w:rPr>
          <w:rFonts w:ascii="Segoe UI" w:hAnsi="Segoe UI" w:cs="Segoe UI"/>
        </w:rPr>
        <w:t xml:space="preserve"> of any Benefit Reduction Options</w:t>
      </w:r>
      <w:r w:rsidR="009B2463">
        <w:rPr>
          <w:rFonts w:ascii="Segoe UI" w:hAnsi="Segoe UI" w:cs="Segoe UI"/>
        </w:rPr>
        <w:t xml:space="preserve"> (BRO)</w:t>
      </w:r>
      <w:r>
        <w:rPr>
          <w:rFonts w:ascii="Segoe UI" w:hAnsi="Segoe UI" w:cs="Segoe UI"/>
        </w:rPr>
        <w:t xml:space="preserve">. For example, </w:t>
      </w:r>
      <w:r w:rsidR="009B2463">
        <w:rPr>
          <w:rFonts w:ascii="Segoe UI" w:hAnsi="Segoe UI" w:cs="Segoe UI"/>
        </w:rPr>
        <w:t xml:space="preserve">address </w:t>
      </w:r>
      <w:r>
        <w:rPr>
          <w:rFonts w:ascii="Segoe UI" w:hAnsi="Segoe UI" w:cs="Segoe UI"/>
        </w:rPr>
        <w:t>the removal or reduction of the benefit increase option (BIO).</w:t>
      </w:r>
    </w:p>
    <w:p w14:paraId="72117083" w14:textId="026CE040"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Clearly specify if the accumulated benefits are retained or lost.</w:t>
      </w:r>
    </w:p>
    <w:p w14:paraId="341DBE7B" w14:textId="0BDDFDD4"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 xml:space="preserve">Indicate </w:t>
      </w:r>
      <w:bookmarkStart w:id="7" w:name="_Hlk155618108"/>
      <w:r>
        <w:rPr>
          <w:rFonts w:ascii="Segoe UI" w:hAnsi="Segoe UI" w:cs="Segoe UI"/>
        </w:rPr>
        <w:t>how the premium calculation incorporates the retention or loss of the accumulated benefits</w:t>
      </w:r>
      <w:bookmarkEnd w:id="7"/>
      <w:r>
        <w:rPr>
          <w:rFonts w:ascii="Segoe UI" w:hAnsi="Segoe UI" w:cs="Segoe UI"/>
        </w:rPr>
        <w:t xml:space="preserve">. </w:t>
      </w:r>
    </w:p>
    <w:p w14:paraId="4DF12FDF" w14:textId="77777777" w:rsidR="004B748D" w:rsidRPr="004B748D" w:rsidRDefault="004B748D" w:rsidP="004B748D">
      <w:pPr>
        <w:spacing w:after="0"/>
        <w:rPr>
          <w:rFonts w:ascii="Segoe UI" w:hAnsi="Segoe UI" w:cs="Segoe UI"/>
        </w:rPr>
      </w:pPr>
    </w:p>
    <w:p w14:paraId="3D7D988D" w14:textId="53B224A3" w:rsidR="009C134B" w:rsidRPr="006B5BEB" w:rsidRDefault="00AC3250" w:rsidP="006B5BEB">
      <w:pPr>
        <w:pStyle w:val="Heading1"/>
        <w:rPr>
          <w:b/>
          <w:sz w:val="22"/>
          <w:szCs w:val="22"/>
        </w:rPr>
      </w:pPr>
      <w:bookmarkStart w:id="8" w:name="_Toc159401249"/>
      <w:r w:rsidRPr="006B5BEB">
        <w:rPr>
          <w:b/>
          <w:sz w:val="22"/>
          <w:szCs w:val="22"/>
        </w:rPr>
        <w:t>If applicable, i</w:t>
      </w:r>
      <w:r w:rsidR="009C134B" w:rsidRPr="006B5BEB">
        <w:rPr>
          <w:b/>
          <w:sz w:val="22"/>
          <w:szCs w:val="22"/>
        </w:rPr>
        <w:t>s sufficient information provided for an experience report filing [WAC 284-83-090(4)</w:t>
      </w:r>
      <w:r w:rsidR="00DF2108">
        <w:rPr>
          <w:b/>
          <w:sz w:val="22"/>
          <w:szCs w:val="22"/>
        </w:rPr>
        <w:t xml:space="preserve"> &amp; (5)</w:t>
      </w:r>
      <w:r w:rsidR="009C134B" w:rsidRPr="006B5BEB">
        <w:rPr>
          <w:b/>
          <w:sz w:val="22"/>
          <w:szCs w:val="22"/>
        </w:rPr>
        <w:t>]?</w:t>
      </w:r>
      <w:bookmarkEnd w:id="8"/>
    </w:p>
    <w:p w14:paraId="1E8B4827" w14:textId="3BF3F61E" w:rsidR="009C134B" w:rsidRPr="00773A96" w:rsidRDefault="009C134B">
      <w:pPr>
        <w:pStyle w:val="ListParagraph"/>
        <w:numPr>
          <w:ilvl w:val="0"/>
          <w:numId w:val="6"/>
        </w:numPr>
        <w:spacing w:after="0"/>
        <w:rPr>
          <w:rFonts w:ascii="Segoe UI" w:hAnsi="Segoe UI" w:cs="Segoe UI"/>
        </w:rPr>
      </w:pPr>
      <w:r w:rsidRPr="00773A96">
        <w:rPr>
          <w:rFonts w:ascii="Segoe UI" w:hAnsi="Segoe UI" w:cs="Segoe UI"/>
        </w:rPr>
        <w:t>Please submit Excel and PDF file versions that include observed experience and projections</w:t>
      </w:r>
      <w:r w:rsidR="00B06936">
        <w:rPr>
          <w:rFonts w:ascii="Segoe UI" w:hAnsi="Segoe UI" w:cs="Segoe UI"/>
        </w:rPr>
        <w:t xml:space="preserve"> for Washington </w:t>
      </w:r>
      <w:r w:rsidR="00350CAE">
        <w:rPr>
          <w:rFonts w:ascii="Segoe UI" w:hAnsi="Segoe UI" w:cs="Segoe UI"/>
        </w:rPr>
        <w:t xml:space="preserve">State </w:t>
      </w:r>
      <w:r w:rsidR="00B06936">
        <w:rPr>
          <w:rFonts w:ascii="Segoe UI" w:hAnsi="Segoe UI" w:cs="Segoe UI"/>
        </w:rPr>
        <w:t>policies and, if applicable, nationwide</w:t>
      </w:r>
      <w:r w:rsidR="00E3577B">
        <w:rPr>
          <w:rFonts w:ascii="Segoe UI" w:hAnsi="Segoe UI" w:cs="Segoe UI"/>
        </w:rPr>
        <w:t xml:space="preserve"> too</w:t>
      </w:r>
      <w:r w:rsidR="008C772F" w:rsidRPr="00773A96">
        <w:rPr>
          <w:rFonts w:ascii="Segoe UI" w:hAnsi="Segoe UI" w:cs="Segoe UI"/>
        </w:rPr>
        <w:t xml:space="preserve">. Include </w:t>
      </w:r>
      <w:r w:rsidRPr="00773A96">
        <w:rPr>
          <w:rFonts w:ascii="Segoe UI" w:hAnsi="Segoe UI" w:cs="Segoe UI"/>
        </w:rPr>
        <w:t>the original information (i.e., the most recent rate filing) and any interim updates filed under WAC 284-83-090(4)</w:t>
      </w:r>
      <w:r w:rsidR="009B2463">
        <w:rPr>
          <w:rFonts w:ascii="Segoe UI" w:hAnsi="Segoe UI" w:cs="Segoe UI"/>
        </w:rPr>
        <w:t xml:space="preserve"> or (5)</w:t>
      </w:r>
      <w:r w:rsidRPr="00773A96">
        <w:rPr>
          <w:rFonts w:ascii="Segoe UI" w:hAnsi="Segoe UI" w:cs="Segoe UI"/>
        </w:rPr>
        <w:t xml:space="preserve">. If the projections are made on a policy basis, please add a tab with the total pooled amounts, for comparison. Include all formulas and internal links in the Excel </w:t>
      </w:r>
      <w:r w:rsidR="009A237D" w:rsidRPr="00773A96">
        <w:rPr>
          <w:rFonts w:ascii="Segoe UI" w:hAnsi="Segoe UI" w:cs="Segoe UI"/>
        </w:rPr>
        <w:t>file and</w:t>
      </w:r>
      <w:r w:rsidRPr="00773A96">
        <w:rPr>
          <w:rFonts w:ascii="Segoe UI" w:hAnsi="Segoe UI" w:cs="Segoe UI"/>
        </w:rPr>
        <w:t xml:space="preserve"> follow the Excel and PDF file naming conventions outlined below.</w:t>
      </w:r>
    </w:p>
    <w:p w14:paraId="4792D7E0" w14:textId="77777777" w:rsidR="00767E15" w:rsidRDefault="008C772F">
      <w:pPr>
        <w:pStyle w:val="ListParagraph"/>
        <w:numPr>
          <w:ilvl w:val="0"/>
          <w:numId w:val="6"/>
        </w:numPr>
        <w:spacing w:after="0"/>
        <w:rPr>
          <w:rFonts w:ascii="Segoe UI" w:hAnsi="Segoe UI" w:cs="Segoe UI"/>
        </w:rPr>
      </w:pPr>
      <w:r w:rsidRPr="00773A96">
        <w:rPr>
          <w:rFonts w:ascii="Segoe UI" w:hAnsi="Segoe UI" w:cs="Segoe UI"/>
        </w:rPr>
        <w:t>Include</w:t>
      </w:r>
      <w:r w:rsidR="00767E15">
        <w:rPr>
          <w:rFonts w:ascii="Segoe UI" w:hAnsi="Segoe UI" w:cs="Segoe UI"/>
        </w:rPr>
        <w:t xml:space="preserve"> an actuarial memorandum which includes the following (see section XV below).</w:t>
      </w:r>
    </w:p>
    <w:p w14:paraId="5FD15AD3" w14:textId="2E4A0B1C" w:rsidR="009C134B" w:rsidRDefault="00767E15">
      <w:pPr>
        <w:pStyle w:val="ListParagraph"/>
        <w:numPr>
          <w:ilvl w:val="0"/>
          <w:numId w:val="30"/>
        </w:numPr>
        <w:spacing w:after="0"/>
        <w:ind w:left="1620"/>
        <w:rPr>
          <w:rFonts w:ascii="Segoe UI" w:hAnsi="Segoe UI" w:cs="Segoe UI"/>
        </w:rPr>
      </w:pPr>
      <w:r>
        <w:rPr>
          <w:rFonts w:ascii="Segoe UI" w:hAnsi="Segoe UI" w:cs="Segoe UI"/>
        </w:rPr>
        <w:t>A</w:t>
      </w:r>
      <w:r w:rsidR="008C772F" w:rsidRPr="00773A96">
        <w:rPr>
          <w:rFonts w:ascii="Segoe UI" w:hAnsi="Segoe UI" w:cs="Segoe UI"/>
        </w:rPr>
        <w:t xml:space="preserve"> table listing the SERFF tracking number(s) of the original and interim filings. Please also reflect the number of policyholders at the time of each filing.</w:t>
      </w:r>
    </w:p>
    <w:p w14:paraId="21516750" w14:textId="69990DA2" w:rsidR="00264311" w:rsidRDefault="00264311">
      <w:pPr>
        <w:pStyle w:val="ListParagraph"/>
        <w:numPr>
          <w:ilvl w:val="0"/>
          <w:numId w:val="30"/>
        </w:numPr>
        <w:spacing w:after="0"/>
        <w:ind w:left="1620"/>
        <w:rPr>
          <w:rFonts w:ascii="Segoe UI" w:hAnsi="Segoe UI" w:cs="Segoe UI"/>
        </w:rPr>
      </w:pPr>
      <w:r>
        <w:rPr>
          <w:rFonts w:ascii="Segoe UI" w:hAnsi="Segoe UI" w:cs="Segoe UI"/>
        </w:rPr>
        <w:t>Include discussion</w:t>
      </w:r>
      <w:r w:rsidR="00B477C0">
        <w:rPr>
          <w:rFonts w:ascii="Segoe UI" w:hAnsi="Segoe UI" w:cs="Segoe UI"/>
        </w:rPr>
        <w:t>,</w:t>
      </w:r>
      <w:r>
        <w:rPr>
          <w:rFonts w:ascii="Segoe UI" w:hAnsi="Segoe UI" w:cs="Segoe UI"/>
        </w:rPr>
        <w:t xml:space="preserve"> </w:t>
      </w:r>
      <w:r w:rsidR="000541E3">
        <w:rPr>
          <w:rFonts w:ascii="Segoe UI" w:hAnsi="Segoe UI" w:cs="Segoe UI"/>
        </w:rPr>
        <w:t>justification</w:t>
      </w:r>
      <w:r w:rsidR="00B477C0">
        <w:rPr>
          <w:rFonts w:ascii="Segoe UI" w:hAnsi="Segoe UI" w:cs="Segoe UI"/>
        </w:rPr>
        <w:t>, and the impact</w:t>
      </w:r>
      <w:r w:rsidR="000541E3">
        <w:rPr>
          <w:rFonts w:ascii="Segoe UI" w:hAnsi="Segoe UI" w:cs="Segoe UI"/>
        </w:rPr>
        <w:t xml:space="preserve"> </w:t>
      </w:r>
      <w:r>
        <w:rPr>
          <w:rFonts w:ascii="Segoe UI" w:hAnsi="Segoe UI" w:cs="Segoe UI"/>
        </w:rPr>
        <w:t xml:space="preserve">of any </w:t>
      </w:r>
      <w:r w:rsidR="000541E3">
        <w:rPr>
          <w:rFonts w:ascii="Segoe UI" w:hAnsi="Segoe UI" w:cs="Segoe UI"/>
        </w:rPr>
        <w:t>updates to the historical experience amounts submitted in the prior filing.</w:t>
      </w:r>
    </w:p>
    <w:p w14:paraId="3156D45B" w14:textId="1F9B1F05" w:rsidR="000541E3" w:rsidRDefault="000541E3">
      <w:pPr>
        <w:pStyle w:val="ListParagraph"/>
        <w:numPr>
          <w:ilvl w:val="0"/>
          <w:numId w:val="30"/>
        </w:numPr>
        <w:spacing w:after="0"/>
        <w:ind w:left="1620"/>
        <w:rPr>
          <w:rFonts w:ascii="Segoe UI" w:hAnsi="Segoe UI" w:cs="Segoe UI"/>
        </w:rPr>
      </w:pPr>
      <w:r>
        <w:rPr>
          <w:rFonts w:ascii="Segoe UI" w:hAnsi="Segoe UI" w:cs="Segoe UI"/>
        </w:rPr>
        <w:t xml:space="preserve">Discuss the impact </w:t>
      </w:r>
      <w:r w:rsidR="00DD3F66">
        <w:rPr>
          <w:rFonts w:ascii="Segoe UI" w:hAnsi="Segoe UI" w:cs="Segoe UI"/>
        </w:rPr>
        <w:t xml:space="preserve">on projections </w:t>
      </w:r>
      <w:r>
        <w:rPr>
          <w:rFonts w:ascii="Segoe UI" w:hAnsi="Segoe UI" w:cs="Segoe UI"/>
        </w:rPr>
        <w:t>of the additional experience since the prior filing.</w:t>
      </w:r>
    </w:p>
    <w:p w14:paraId="0BE4EB81" w14:textId="735B5EB7" w:rsidR="000541E3" w:rsidRPr="000541E3" w:rsidRDefault="000541E3">
      <w:pPr>
        <w:pStyle w:val="ListParagraph"/>
        <w:numPr>
          <w:ilvl w:val="0"/>
          <w:numId w:val="30"/>
        </w:numPr>
        <w:spacing w:after="0"/>
        <w:ind w:left="1620"/>
        <w:rPr>
          <w:rFonts w:ascii="Segoe UI" w:hAnsi="Segoe UI" w:cs="Segoe UI"/>
        </w:rPr>
      </w:pPr>
      <w:r>
        <w:rPr>
          <w:rFonts w:ascii="Segoe UI" w:hAnsi="Segoe UI" w:cs="Segoe UI"/>
        </w:rPr>
        <w:t>Discuss any changes to the projection methodology.</w:t>
      </w:r>
    </w:p>
    <w:p w14:paraId="5AABE277" w14:textId="77777777" w:rsidR="009C134B" w:rsidRPr="00773A96" w:rsidRDefault="009C134B" w:rsidP="007A7E08">
      <w:pPr>
        <w:spacing w:after="0"/>
        <w:rPr>
          <w:rFonts w:ascii="Segoe UI" w:hAnsi="Segoe UI" w:cs="Segoe UI"/>
          <w:b/>
        </w:rPr>
      </w:pPr>
    </w:p>
    <w:p w14:paraId="3AFAA009" w14:textId="77777777" w:rsidR="00406BD0" w:rsidRPr="006B5BEB" w:rsidRDefault="00156B36" w:rsidP="004E11CF">
      <w:pPr>
        <w:pStyle w:val="Heading1"/>
        <w:keepNext/>
        <w:rPr>
          <w:b/>
          <w:sz w:val="22"/>
          <w:szCs w:val="22"/>
        </w:rPr>
      </w:pPr>
      <w:bookmarkStart w:id="9" w:name="_Toc159401250"/>
      <w:r w:rsidRPr="006B5BEB">
        <w:rPr>
          <w:b/>
          <w:sz w:val="22"/>
          <w:szCs w:val="22"/>
        </w:rPr>
        <w:t>Do</w:t>
      </w:r>
      <w:r w:rsidR="00CC7B4B" w:rsidRPr="006B5BEB">
        <w:rPr>
          <w:b/>
          <w:sz w:val="22"/>
          <w:szCs w:val="22"/>
        </w:rPr>
        <w:t xml:space="preserve"> </w:t>
      </w:r>
      <w:r w:rsidRPr="006B5BEB">
        <w:rPr>
          <w:b/>
          <w:sz w:val="22"/>
          <w:szCs w:val="22"/>
        </w:rPr>
        <w:t>Excel copies of PDFs meet our standard submission requirements</w:t>
      </w:r>
      <w:r w:rsidR="00CC7B4B" w:rsidRPr="006B5BEB">
        <w:rPr>
          <w:b/>
          <w:sz w:val="22"/>
          <w:szCs w:val="22"/>
        </w:rPr>
        <w:t>?</w:t>
      </w:r>
      <w:bookmarkEnd w:id="9"/>
    </w:p>
    <w:p w14:paraId="4985F29F" w14:textId="3BDA55BC" w:rsidR="00E12652" w:rsidRPr="00406BD0" w:rsidRDefault="00CC7B4B" w:rsidP="004E11CF">
      <w:pPr>
        <w:pStyle w:val="ListParagraph"/>
        <w:keepNext/>
        <w:spacing w:after="0"/>
        <w:rPr>
          <w:rFonts w:ascii="Segoe UI" w:hAnsi="Segoe UI" w:cs="Segoe UI"/>
          <w:b/>
        </w:rPr>
      </w:pPr>
      <w:r w:rsidRPr="00406BD0">
        <w:rPr>
          <w:rFonts w:ascii="Segoe UI" w:hAnsi="Segoe UI" w:cs="Segoe UI"/>
        </w:rPr>
        <w:t>Excel files may be submitted in support of the rate filing if the following conditions are met:</w:t>
      </w:r>
    </w:p>
    <w:p w14:paraId="79D9444F" w14:textId="482103F0"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External file links should be broken.</w:t>
      </w:r>
    </w:p>
    <w:p w14:paraId="438F3065" w14:textId="7B6AB48E"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Internal file links</w:t>
      </w:r>
      <w:r w:rsidR="00350CAE">
        <w:rPr>
          <w:rFonts w:ascii="Segoe UI" w:hAnsi="Segoe UI" w:cs="Segoe UI"/>
        </w:rPr>
        <w:t xml:space="preserve"> and formulas</w:t>
      </w:r>
      <w:r w:rsidRPr="00773A96">
        <w:rPr>
          <w:rFonts w:ascii="Segoe UI" w:hAnsi="Segoe UI" w:cs="Segoe UI"/>
        </w:rPr>
        <w:t xml:space="preserve"> can and should be maintained.</w:t>
      </w:r>
    </w:p>
    <w:p w14:paraId="2C760D2C" w14:textId="0F030251" w:rsidR="00156B36" w:rsidRPr="00773A96" w:rsidRDefault="00587ADA">
      <w:pPr>
        <w:pStyle w:val="ListParagraph"/>
        <w:numPr>
          <w:ilvl w:val="0"/>
          <w:numId w:val="7"/>
        </w:numPr>
        <w:spacing w:after="0"/>
        <w:rPr>
          <w:rFonts w:ascii="Segoe UI" w:hAnsi="Segoe UI" w:cs="Segoe UI"/>
        </w:rPr>
      </w:pPr>
      <w:r w:rsidRPr="00773A96">
        <w:rPr>
          <w:rFonts w:ascii="Segoe UI" w:hAnsi="Segoe UI" w:cs="Segoe UI"/>
        </w:rPr>
        <w:t>Password protection is not allowed on t</w:t>
      </w:r>
      <w:r w:rsidR="00156B36" w:rsidRPr="00773A96">
        <w:rPr>
          <w:rFonts w:ascii="Segoe UI" w:hAnsi="Segoe UI" w:cs="Segoe UI"/>
        </w:rPr>
        <w:t xml:space="preserve">he </w:t>
      </w:r>
      <w:r w:rsidR="00DE5CDF">
        <w:rPr>
          <w:rFonts w:ascii="Segoe UI" w:hAnsi="Segoe UI" w:cs="Segoe UI"/>
        </w:rPr>
        <w:t>workbook</w:t>
      </w:r>
      <w:r w:rsidR="00156B36" w:rsidRPr="00773A96">
        <w:rPr>
          <w:rFonts w:ascii="Segoe UI" w:hAnsi="Segoe UI" w:cs="Segoe UI"/>
        </w:rPr>
        <w:t xml:space="preserve"> </w:t>
      </w:r>
      <w:r w:rsidRPr="00773A96">
        <w:rPr>
          <w:rFonts w:ascii="Segoe UI" w:hAnsi="Segoe UI" w:cs="Segoe UI"/>
        </w:rPr>
        <w:t xml:space="preserve">or any part of </w:t>
      </w:r>
      <w:r w:rsidR="00DE5CDF">
        <w:rPr>
          <w:rFonts w:ascii="Segoe UI" w:hAnsi="Segoe UI" w:cs="Segoe UI"/>
        </w:rPr>
        <w:t>a</w:t>
      </w:r>
      <w:r w:rsidR="00DE5CDF" w:rsidRPr="00773A96">
        <w:rPr>
          <w:rFonts w:ascii="Segoe UI" w:hAnsi="Segoe UI" w:cs="Segoe UI"/>
        </w:rPr>
        <w:t xml:space="preserve"> </w:t>
      </w:r>
      <w:r w:rsidRPr="00773A96">
        <w:rPr>
          <w:rFonts w:ascii="Segoe UI" w:hAnsi="Segoe UI" w:cs="Segoe UI"/>
        </w:rPr>
        <w:t>spreadsheet.</w:t>
      </w:r>
    </w:p>
    <w:p w14:paraId="6B3AC193" w14:textId="15FCE368" w:rsidR="00CC7B4B" w:rsidRDefault="00CC7B4B">
      <w:pPr>
        <w:pStyle w:val="ListParagraph"/>
        <w:numPr>
          <w:ilvl w:val="0"/>
          <w:numId w:val="7"/>
        </w:numPr>
        <w:spacing w:after="0"/>
        <w:rPr>
          <w:rFonts w:ascii="Segoe UI" w:hAnsi="Segoe UI" w:cs="Segoe UI"/>
        </w:rPr>
      </w:pPr>
      <w:r w:rsidRPr="00773A96">
        <w:rPr>
          <w:rFonts w:ascii="Segoe UI" w:hAnsi="Segoe UI" w:cs="Segoe UI"/>
        </w:rPr>
        <w:t xml:space="preserve">A copy of the Excel file is also submitted as a PDF file. The contents should match exactly between the two files. The PDF file should </w:t>
      </w:r>
      <w:r w:rsidR="00E3577B">
        <w:rPr>
          <w:rFonts w:ascii="Segoe UI" w:hAnsi="Segoe UI" w:cs="Segoe UI"/>
        </w:rPr>
        <w:t>give</w:t>
      </w:r>
      <w:r w:rsidR="00E3577B" w:rsidRPr="00773A96">
        <w:rPr>
          <w:rFonts w:ascii="Segoe UI" w:hAnsi="Segoe UI" w:cs="Segoe UI"/>
        </w:rPr>
        <w:t xml:space="preserve"> </w:t>
      </w:r>
      <w:r w:rsidRPr="00773A96">
        <w:rPr>
          <w:rFonts w:ascii="Segoe UI" w:hAnsi="Segoe UI" w:cs="Segoe UI"/>
        </w:rPr>
        <w:t>visibility to all spreadsheets (hidden or active) and all cells with content (unhide all rows and c</w:t>
      </w:r>
      <w:r w:rsidR="00587F01">
        <w:rPr>
          <w:rFonts w:ascii="Segoe UI" w:hAnsi="Segoe UI" w:cs="Segoe UI"/>
        </w:rPr>
        <w:t>olumns</w:t>
      </w:r>
      <w:r w:rsidRPr="00773A96">
        <w:rPr>
          <w:rFonts w:ascii="Segoe UI" w:hAnsi="Segoe UI" w:cs="Segoe UI"/>
        </w:rPr>
        <w:t xml:space="preserve"> and make the font visible). The PDF and Excel </w:t>
      </w:r>
      <w:r w:rsidR="00AC3250" w:rsidRPr="00773A96">
        <w:rPr>
          <w:rFonts w:ascii="Segoe UI" w:hAnsi="Segoe UI" w:cs="Segoe UI"/>
        </w:rPr>
        <w:t xml:space="preserve">files </w:t>
      </w:r>
      <w:r w:rsidRPr="00773A96">
        <w:rPr>
          <w:rFonts w:ascii="Segoe UI" w:hAnsi="Segoe UI" w:cs="Segoe UI"/>
        </w:rPr>
        <w:t>will be named the same except the Excel file name</w:t>
      </w:r>
      <w:r w:rsidR="00E9035E">
        <w:rPr>
          <w:rFonts w:ascii="Segoe UI" w:hAnsi="Segoe UI" w:cs="Segoe UI"/>
        </w:rPr>
        <w:t xml:space="preserve"> will end with “duplicate.xlsx.”</w:t>
      </w:r>
    </w:p>
    <w:p w14:paraId="63A5496B" w14:textId="5B0A841D" w:rsidR="00E47D08" w:rsidRPr="00773A96" w:rsidRDefault="00E47D08">
      <w:pPr>
        <w:pStyle w:val="ListParagraph"/>
        <w:numPr>
          <w:ilvl w:val="0"/>
          <w:numId w:val="7"/>
        </w:numPr>
        <w:spacing w:after="0"/>
        <w:rPr>
          <w:rFonts w:ascii="Segoe UI" w:hAnsi="Segoe UI" w:cs="Segoe UI"/>
        </w:rPr>
      </w:pPr>
      <w:r>
        <w:rPr>
          <w:rFonts w:ascii="Segoe UI" w:hAnsi="Segoe UI" w:cs="Segoe UI"/>
        </w:rPr>
        <w:t>The PDF file should be reviewed for completeness and readability. For example, column headings and row descriptions should be repeated on each page for continuation of large tables. There must not be any values that are cut off, displaying as “####”, or otherwise unreadable</w:t>
      </w:r>
      <w:r w:rsidRPr="00E47D08">
        <w:rPr>
          <w:rFonts w:ascii="Segoe UI" w:hAnsi="Segoe UI" w:cs="Segoe UI"/>
        </w:rPr>
        <w:t>.</w:t>
      </w:r>
    </w:p>
    <w:p w14:paraId="7978B919" w14:textId="77777777" w:rsidR="00CC7B4B" w:rsidRPr="00773A96" w:rsidRDefault="00CC7B4B" w:rsidP="007A7E08">
      <w:pPr>
        <w:spacing w:after="0"/>
        <w:rPr>
          <w:rFonts w:ascii="Segoe UI" w:hAnsi="Segoe UI" w:cs="Segoe UI"/>
          <w:b/>
        </w:rPr>
      </w:pPr>
    </w:p>
    <w:p w14:paraId="0C71DC77" w14:textId="11002DCF" w:rsidR="00A74738" w:rsidRPr="006B5BEB" w:rsidRDefault="00A74738" w:rsidP="00084D18">
      <w:pPr>
        <w:pStyle w:val="Heading1"/>
        <w:keepNext/>
        <w:rPr>
          <w:b/>
          <w:sz w:val="22"/>
          <w:szCs w:val="22"/>
        </w:rPr>
      </w:pPr>
      <w:bookmarkStart w:id="10" w:name="_Toc159401251"/>
      <w:r w:rsidRPr="006B5BEB">
        <w:rPr>
          <w:b/>
          <w:sz w:val="22"/>
          <w:szCs w:val="22"/>
        </w:rPr>
        <w:t xml:space="preserve">Is it clear that </w:t>
      </w:r>
      <w:r w:rsidR="000920A9" w:rsidRPr="006B5BEB">
        <w:rPr>
          <w:b/>
          <w:sz w:val="22"/>
          <w:szCs w:val="22"/>
        </w:rPr>
        <w:t xml:space="preserve">the </w:t>
      </w:r>
      <w:r w:rsidR="009D6B88" w:rsidRPr="006B5BEB">
        <w:rPr>
          <w:b/>
          <w:sz w:val="22"/>
          <w:szCs w:val="22"/>
        </w:rPr>
        <w:t>general rating manual</w:t>
      </w:r>
      <w:r w:rsidRPr="006B5BEB">
        <w:rPr>
          <w:b/>
          <w:sz w:val="22"/>
          <w:szCs w:val="22"/>
        </w:rPr>
        <w:t xml:space="preserve"> meet</w:t>
      </w:r>
      <w:r w:rsidR="009D6B88" w:rsidRPr="006B5BEB">
        <w:rPr>
          <w:b/>
          <w:sz w:val="22"/>
          <w:szCs w:val="22"/>
        </w:rPr>
        <w:t>s</w:t>
      </w:r>
      <w:r w:rsidRPr="006B5BEB">
        <w:rPr>
          <w:b/>
          <w:sz w:val="22"/>
          <w:szCs w:val="22"/>
        </w:rPr>
        <w:t xml:space="preserve"> the pooling requirements?</w:t>
      </w:r>
      <w:bookmarkEnd w:id="10"/>
    </w:p>
    <w:p w14:paraId="0723832C" w14:textId="29268082" w:rsidR="00A74738" w:rsidRPr="00773A96" w:rsidRDefault="00772F59">
      <w:pPr>
        <w:pStyle w:val="ListParagraph"/>
        <w:numPr>
          <w:ilvl w:val="0"/>
          <w:numId w:val="8"/>
        </w:numPr>
        <w:spacing w:after="0"/>
        <w:rPr>
          <w:rFonts w:ascii="Segoe UI" w:hAnsi="Segoe UI" w:cs="Segoe UI"/>
        </w:rPr>
      </w:pPr>
      <w:r>
        <w:rPr>
          <w:rFonts w:ascii="Segoe UI" w:hAnsi="Segoe UI" w:cs="Segoe UI"/>
        </w:rPr>
        <w:t>For pooling, b</w:t>
      </w:r>
      <w:r w:rsidR="00A74738" w:rsidRPr="00773A96">
        <w:rPr>
          <w:rFonts w:ascii="Segoe UI" w:hAnsi="Segoe UI" w:cs="Segoe UI"/>
        </w:rPr>
        <w:t xml:space="preserve">asing </w:t>
      </w:r>
      <w:r w:rsidR="00E3577B">
        <w:rPr>
          <w:rFonts w:ascii="Segoe UI" w:hAnsi="Segoe UI" w:cs="Segoe UI"/>
        </w:rPr>
        <w:t>a</w:t>
      </w:r>
      <w:r w:rsidR="00E3577B" w:rsidRPr="00773A96">
        <w:rPr>
          <w:rFonts w:ascii="Segoe UI" w:hAnsi="Segoe UI" w:cs="Segoe UI"/>
        </w:rPr>
        <w:t xml:space="preserve"> </w:t>
      </w:r>
      <w:r w:rsidR="00A74738" w:rsidRPr="00773A96">
        <w:rPr>
          <w:rFonts w:ascii="Segoe UI" w:hAnsi="Segoe UI" w:cs="Segoe UI"/>
        </w:rPr>
        <w:t xml:space="preserve">group’s rate on </w:t>
      </w:r>
      <w:r w:rsidR="000920A9" w:rsidRPr="00773A96">
        <w:rPr>
          <w:rFonts w:ascii="Segoe UI" w:hAnsi="Segoe UI" w:cs="Segoe UI"/>
        </w:rPr>
        <w:t xml:space="preserve">its </w:t>
      </w:r>
      <w:r w:rsidR="00B75E9D">
        <w:rPr>
          <w:rFonts w:ascii="Segoe UI" w:hAnsi="Segoe UI" w:cs="Segoe UI"/>
        </w:rPr>
        <w:t xml:space="preserve">own </w:t>
      </w:r>
      <w:r w:rsidR="00A74738" w:rsidRPr="00773A96">
        <w:rPr>
          <w:rFonts w:ascii="Segoe UI" w:hAnsi="Segoe UI" w:cs="Segoe UI"/>
        </w:rPr>
        <w:t>experience is not allowed and must be removed from the rating manual.</w:t>
      </w:r>
    </w:p>
    <w:p w14:paraId="20366265" w14:textId="3189B67B" w:rsidR="00095C32" w:rsidRPr="00000BA0" w:rsidRDefault="00095C32">
      <w:pPr>
        <w:pStyle w:val="ListParagraph"/>
        <w:numPr>
          <w:ilvl w:val="0"/>
          <w:numId w:val="8"/>
        </w:numPr>
        <w:spacing w:after="0"/>
        <w:contextualSpacing w:val="0"/>
        <w:rPr>
          <w:rFonts w:ascii="Segoe UI" w:hAnsi="Segoe UI" w:cs="Segoe UI"/>
        </w:rPr>
      </w:pPr>
      <w:r w:rsidRPr="00000BA0">
        <w:rPr>
          <w:rFonts w:ascii="Segoe UI" w:hAnsi="Segoe UI" w:cs="Segoe UI"/>
        </w:rPr>
        <w:t xml:space="preserve">All similar policy forms must be pooled per WAC </w:t>
      </w:r>
      <w:r w:rsidR="00E12652" w:rsidRPr="00000BA0">
        <w:rPr>
          <w:rFonts w:ascii="Segoe UI" w:hAnsi="Segoe UI" w:cs="Segoe UI"/>
        </w:rPr>
        <w:t>284-54-620</w:t>
      </w:r>
      <w:r w:rsidR="00CE051E" w:rsidRPr="00000BA0">
        <w:rPr>
          <w:rFonts w:ascii="Segoe UI" w:hAnsi="Segoe UI" w:cs="Segoe UI"/>
        </w:rPr>
        <w:t xml:space="preserve"> </w:t>
      </w:r>
      <w:r w:rsidR="008B7915" w:rsidRPr="00000BA0">
        <w:rPr>
          <w:rFonts w:ascii="Segoe UI" w:hAnsi="Segoe UI" w:cs="Segoe UI"/>
        </w:rPr>
        <w:t xml:space="preserve">and </w:t>
      </w:r>
      <w:r w:rsidR="00CE051E" w:rsidRPr="00000BA0">
        <w:rPr>
          <w:rFonts w:ascii="Segoe UI" w:hAnsi="Segoe UI" w:cs="Segoe UI"/>
        </w:rPr>
        <w:t>WAC 284-83-220</w:t>
      </w:r>
      <w:r w:rsidRPr="00000BA0">
        <w:rPr>
          <w:rFonts w:ascii="Segoe UI" w:hAnsi="Segoe UI" w:cs="Segoe UI"/>
        </w:rPr>
        <w:t xml:space="preserve">. </w:t>
      </w:r>
      <w:r w:rsidR="002A3EA1" w:rsidRPr="00000BA0">
        <w:rPr>
          <w:rFonts w:ascii="Segoe UI" w:hAnsi="Segoe UI" w:cs="Segoe UI"/>
        </w:rPr>
        <w:t>Please review</w:t>
      </w:r>
      <w:r w:rsidRPr="00000BA0">
        <w:rPr>
          <w:rFonts w:ascii="Segoe UI" w:hAnsi="Segoe UI" w:cs="Segoe UI"/>
        </w:rPr>
        <w:t xml:space="preserve"> </w:t>
      </w:r>
      <w:r w:rsidR="00CE051E" w:rsidRPr="00000BA0">
        <w:rPr>
          <w:rFonts w:ascii="Segoe UI" w:hAnsi="Segoe UI" w:cs="Segoe UI"/>
        </w:rPr>
        <w:t>the appropriate section</w:t>
      </w:r>
      <w:r w:rsidRPr="00000BA0">
        <w:rPr>
          <w:rFonts w:ascii="Segoe UI" w:hAnsi="Segoe UI" w:cs="Segoe UI"/>
        </w:rPr>
        <w:t xml:space="preserve"> and provide a list of the company’s similar policy forms. Identify the forms that are and are not pooled in the development of the rates </w:t>
      </w:r>
      <w:r w:rsidR="00AC3250" w:rsidRPr="00000BA0">
        <w:rPr>
          <w:rFonts w:ascii="Segoe UI" w:hAnsi="Segoe UI" w:cs="Segoe UI"/>
        </w:rPr>
        <w:t xml:space="preserve">in this filing </w:t>
      </w:r>
      <w:r w:rsidR="002A3EA1" w:rsidRPr="00000BA0">
        <w:rPr>
          <w:rFonts w:ascii="Segoe UI" w:hAnsi="Segoe UI" w:cs="Segoe UI"/>
        </w:rPr>
        <w:t xml:space="preserve">and </w:t>
      </w:r>
      <w:r w:rsidR="005365B4" w:rsidRPr="00000BA0">
        <w:rPr>
          <w:rFonts w:ascii="Segoe UI" w:hAnsi="Segoe UI" w:cs="Segoe UI"/>
        </w:rPr>
        <w:t xml:space="preserve">provide </w:t>
      </w:r>
      <w:r w:rsidR="002A3EA1" w:rsidRPr="00000BA0">
        <w:rPr>
          <w:rFonts w:ascii="Segoe UI" w:hAnsi="Segoe UI" w:cs="Segoe UI"/>
        </w:rPr>
        <w:t xml:space="preserve">justification for </w:t>
      </w:r>
      <w:r w:rsidR="005365B4" w:rsidRPr="00000BA0">
        <w:rPr>
          <w:rFonts w:ascii="Segoe UI" w:hAnsi="Segoe UI" w:cs="Segoe UI"/>
        </w:rPr>
        <w:t xml:space="preserve">any </w:t>
      </w:r>
      <w:r w:rsidR="002A3EA1" w:rsidRPr="00000BA0">
        <w:rPr>
          <w:rFonts w:ascii="Segoe UI" w:hAnsi="Segoe UI" w:cs="Segoe UI"/>
        </w:rPr>
        <w:t>separate pooling</w:t>
      </w:r>
      <w:r w:rsidRPr="00000BA0">
        <w:rPr>
          <w:rFonts w:ascii="Segoe UI" w:hAnsi="Segoe UI" w:cs="Segoe UI"/>
        </w:rPr>
        <w:t xml:space="preserve">. This information should be provided in a separate PDF document on the Supporting </w:t>
      </w:r>
      <w:r w:rsidR="005365B4" w:rsidRPr="00000BA0">
        <w:rPr>
          <w:rFonts w:ascii="Segoe UI" w:hAnsi="Segoe UI" w:cs="Segoe UI"/>
        </w:rPr>
        <w:t xml:space="preserve">Documentation </w:t>
      </w:r>
      <w:r w:rsidRPr="00000BA0">
        <w:rPr>
          <w:rFonts w:ascii="Segoe UI" w:hAnsi="Segoe UI" w:cs="Segoe UI"/>
        </w:rPr>
        <w:t>tab in SERFF and should be included in all fut</w:t>
      </w:r>
      <w:r w:rsidR="00587ADA" w:rsidRPr="00000BA0">
        <w:rPr>
          <w:rFonts w:ascii="Segoe UI" w:hAnsi="Segoe UI" w:cs="Segoe UI"/>
        </w:rPr>
        <w:t>ure corresponding rate filings.</w:t>
      </w:r>
    </w:p>
    <w:p w14:paraId="786BDC76" w14:textId="451CD105" w:rsidR="009D6B88" w:rsidRPr="00773A96" w:rsidRDefault="009D6B88">
      <w:pPr>
        <w:pStyle w:val="ListParagraph"/>
        <w:numPr>
          <w:ilvl w:val="0"/>
          <w:numId w:val="8"/>
        </w:numPr>
        <w:spacing w:after="0"/>
        <w:rPr>
          <w:rFonts w:ascii="Segoe UI" w:hAnsi="Segoe UI" w:cs="Segoe UI"/>
        </w:rPr>
      </w:pPr>
      <w:r w:rsidRPr="00773A96">
        <w:rPr>
          <w:rFonts w:ascii="Segoe UI" w:hAnsi="Segoe UI" w:cs="Segoe UI"/>
        </w:rPr>
        <w:t xml:space="preserve">If you already have policy forms filed with us or are </w:t>
      </w:r>
      <w:r w:rsidR="00772F59">
        <w:rPr>
          <w:rFonts w:ascii="Segoe UI" w:hAnsi="Segoe UI" w:cs="Segoe UI"/>
        </w:rPr>
        <w:t>submitting</w:t>
      </w:r>
      <w:r w:rsidRPr="00773A96">
        <w:rPr>
          <w:rFonts w:ascii="Segoe UI" w:hAnsi="Segoe UI" w:cs="Segoe UI"/>
        </w:rPr>
        <w:t xml:space="preserve"> multiple filings for the same </w:t>
      </w:r>
      <w:r w:rsidR="00AC3250" w:rsidRPr="00773A96">
        <w:rPr>
          <w:rFonts w:ascii="Segoe UI" w:hAnsi="Segoe UI" w:cs="Segoe UI"/>
        </w:rPr>
        <w:t>type of insurance (</w:t>
      </w:r>
      <w:r w:rsidRPr="00773A96">
        <w:rPr>
          <w:rFonts w:ascii="Segoe UI" w:hAnsi="Segoe UI" w:cs="Segoe UI"/>
        </w:rPr>
        <w:t>TOI</w:t>
      </w:r>
      <w:r w:rsidR="00AC3250" w:rsidRPr="00773A96">
        <w:rPr>
          <w:rFonts w:ascii="Segoe UI" w:hAnsi="Segoe UI" w:cs="Segoe UI"/>
        </w:rPr>
        <w:t>)</w:t>
      </w:r>
      <w:r w:rsidRPr="00773A96">
        <w:rPr>
          <w:rFonts w:ascii="Segoe UI" w:hAnsi="Segoe UI" w:cs="Segoe UI"/>
        </w:rPr>
        <w:t>, you must show how the experience is pooled for rating purposes or explain in the actuarial memorandum why the policy forms are not similar.</w:t>
      </w:r>
    </w:p>
    <w:p w14:paraId="5CF5A4E2" w14:textId="20E6BDD0" w:rsidR="00347676" w:rsidRPr="00773A96" w:rsidRDefault="00347676">
      <w:pPr>
        <w:pStyle w:val="ListParagraph"/>
        <w:numPr>
          <w:ilvl w:val="0"/>
          <w:numId w:val="8"/>
        </w:numPr>
        <w:spacing w:after="0"/>
        <w:rPr>
          <w:rFonts w:ascii="Segoe UI" w:hAnsi="Segoe UI" w:cs="Segoe UI"/>
        </w:rPr>
      </w:pPr>
      <w:r w:rsidRPr="00773A96">
        <w:rPr>
          <w:rFonts w:ascii="Segoe UI" w:hAnsi="Segoe UI" w:cs="Segoe UI"/>
        </w:rPr>
        <w:t>Expenses</w:t>
      </w:r>
      <w:r w:rsidR="00D679E8" w:rsidRPr="00773A96">
        <w:rPr>
          <w:rFonts w:ascii="Segoe UI" w:hAnsi="Segoe UI" w:cs="Segoe UI"/>
        </w:rPr>
        <w:t>, including commissions,</w:t>
      </w:r>
      <w:r w:rsidRPr="00773A96">
        <w:rPr>
          <w:rFonts w:ascii="Segoe UI" w:hAnsi="Segoe UI" w:cs="Segoe UI"/>
        </w:rPr>
        <w:t xml:space="preserve"> for each group must also be poo</w:t>
      </w:r>
      <w:r w:rsidR="00D679E8" w:rsidRPr="00773A96">
        <w:rPr>
          <w:rFonts w:ascii="Segoe UI" w:hAnsi="Segoe UI" w:cs="Segoe UI"/>
        </w:rPr>
        <w:t>led.</w:t>
      </w:r>
    </w:p>
    <w:p w14:paraId="56C3626B" w14:textId="77777777" w:rsidR="009D6B88" w:rsidRPr="00773A96" w:rsidRDefault="009D6B88" w:rsidP="007A7E08">
      <w:pPr>
        <w:spacing w:after="0"/>
        <w:rPr>
          <w:rFonts w:ascii="Segoe UI" w:hAnsi="Segoe UI" w:cs="Segoe UI"/>
        </w:rPr>
      </w:pPr>
    </w:p>
    <w:p w14:paraId="7B4FA4E0" w14:textId="3EDBB8AB" w:rsidR="00AC3250" w:rsidRPr="006B5BEB" w:rsidRDefault="007D6C53" w:rsidP="006B5BEB">
      <w:pPr>
        <w:pStyle w:val="Heading1"/>
        <w:rPr>
          <w:b/>
          <w:sz w:val="22"/>
          <w:szCs w:val="22"/>
        </w:rPr>
      </w:pPr>
      <w:bookmarkStart w:id="11" w:name="_Toc159401252"/>
      <w:r w:rsidRPr="006B5BEB">
        <w:rPr>
          <w:b/>
          <w:sz w:val="22"/>
          <w:szCs w:val="22"/>
        </w:rPr>
        <w:t xml:space="preserve">Are benefits reasonable in relation to the premium charged </w:t>
      </w:r>
      <w:r w:rsidR="00350CAE" w:rsidRPr="006B5BEB">
        <w:rPr>
          <w:b/>
          <w:sz w:val="22"/>
          <w:szCs w:val="22"/>
        </w:rPr>
        <w:t>[</w:t>
      </w:r>
      <w:r w:rsidRPr="006B5BEB">
        <w:rPr>
          <w:b/>
          <w:sz w:val="22"/>
          <w:szCs w:val="22"/>
        </w:rPr>
        <w:t>RCW 48.18.110</w:t>
      </w:r>
      <w:r w:rsidR="00350CAE" w:rsidRPr="006B5BEB">
        <w:rPr>
          <w:b/>
          <w:sz w:val="22"/>
          <w:szCs w:val="22"/>
        </w:rPr>
        <w:t>]?</w:t>
      </w:r>
      <w:bookmarkEnd w:id="11"/>
    </w:p>
    <w:p w14:paraId="29D963F9" w14:textId="53A9A47B" w:rsidR="00AC3250"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to this effect.</w:t>
      </w:r>
    </w:p>
    <w:p w14:paraId="215C7FEF" w14:textId="77777777" w:rsidR="00AC3250" w:rsidRPr="00773A96" w:rsidRDefault="00AC3250" w:rsidP="007A7E08">
      <w:pPr>
        <w:spacing w:after="0"/>
        <w:rPr>
          <w:rFonts w:ascii="Segoe UI" w:hAnsi="Segoe UI" w:cs="Segoe UI"/>
          <w:b/>
        </w:rPr>
      </w:pPr>
    </w:p>
    <w:p w14:paraId="5C6FA826" w14:textId="04F191CC" w:rsidR="003120FA" w:rsidRPr="006B5BEB" w:rsidRDefault="00AC3250" w:rsidP="006B5BEB">
      <w:pPr>
        <w:pStyle w:val="Heading1"/>
        <w:rPr>
          <w:b/>
          <w:sz w:val="22"/>
          <w:szCs w:val="22"/>
        </w:rPr>
      </w:pPr>
      <w:bookmarkStart w:id="12" w:name="_Toc159401253"/>
      <w:r w:rsidRPr="006B5BEB">
        <w:rPr>
          <w:b/>
          <w:sz w:val="22"/>
          <w:szCs w:val="22"/>
        </w:rPr>
        <w:t>D</w:t>
      </w:r>
      <w:r w:rsidR="00463E1A" w:rsidRPr="006B5BEB">
        <w:rPr>
          <w:b/>
          <w:sz w:val="22"/>
          <w:szCs w:val="22"/>
        </w:rPr>
        <w:t xml:space="preserve">o </w:t>
      </w:r>
      <w:r w:rsidRPr="006B5BEB">
        <w:rPr>
          <w:b/>
          <w:sz w:val="22"/>
          <w:szCs w:val="22"/>
        </w:rPr>
        <w:t xml:space="preserve">benefits or rates </w:t>
      </w:r>
      <w:r w:rsidR="00463E1A" w:rsidRPr="006B5BEB">
        <w:rPr>
          <w:b/>
          <w:sz w:val="22"/>
          <w:szCs w:val="22"/>
        </w:rPr>
        <w:t xml:space="preserve">unfairly discriminate against an individual or group </w:t>
      </w:r>
      <w:r w:rsidR="00350CAE" w:rsidRPr="006B5BEB">
        <w:rPr>
          <w:b/>
          <w:sz w:val="22"/>
          <w:szCs w:val="22"/>
        </w:rPr>
        <w:t>[</w:t>
      </w:r>
      <w:r w:rsidR="00463E1A" w:rsidRPr="006B5BEB">
        <w:rPr>
          <w:b/>
          <w:sz w:val="22"/>
          <w:szCs w:val="22"/>
        </w:rPr>
        <w:t>RCW 48.18.480</w:t>
      </w:r>
      <w:r w:rsidR="00350CAE" w:rsidRPr="006B5BEB">
        <w:rPr>
          <w:b/>
          <w:sz w:val="22"/>
          <w:szCs w:val="22"/>
        </w:rPr>
        <w:t>]?</w:t>
      </w:r>
      <w:bookmarkEnd w:id="12"/>
    </w:p>
    <w:p w14:paraId="24127668" w14:textId="06F1B979" w:rsidR="00BD1D4B"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as appropriate, to explain how benefits and rates do not unfairly discriminate.</w:t>
      </w:r>
    </w:p>
    <w:p w14:paraId="1A009C4E" w14:textId="77777777" w:rsidR="00BD1D4B" w:rsidRPr="00773A96" w:rsidRDefault="00BD1D4B" w:rsidP="007A7E08">
      <w:pPr>
        <w:pStyle w:val="ListParagraph"/>
        <w:spacing w:after="0"/>
        <w:ind w:left="0"/>
        <w:rPr>
          <w:rFonts w:ascii="Segoe UI" w:hAnsi="Segoe UI" w:cs="Segoe UI"/>
        </w:rPr>
      </w:pPr>
    </w:p>
    <w:p w14:paraId="437959F4" w14:textId="034D8A9A" w:rsidR="00BD1D4B" w:rsidRPr="006B5BEB" w:rsidRDefault="00BD1D4B" w:rsidP="004E11CF">
      <w:pPr>
        <w:pStyle w:val="Heading1"/>
        <w:keepNext/>
        <w:rPr>
          <w:b/>
          <w:sz w:val="22"/>
          <w:szCs w:val="22"/>
        </w:rPr>
      </w:pPr>
      <w:bookmarkStart w:id="13" w:name="_Toc159401254"/>
      <w:r w:rsidRPr="006B5BEB">
        <w:rPr>
          <w:b/>
          <w:sz w:val="22"/>
          <w:szCs w:val="22"/>
        </w:rPr>
        <w:t xml:space="preserve">Is the rate manual consistent with the </w:t>
      </w:r>
      <w:r w:rsidR="00FD7FC7">
        <w:rPr>
          <w:b/>
          <w:sz w:val="22"/>
          <w:szCs w:val="22"/>
        </w:rPr>
        <w:t>variability filed in the form filing</w:t>
      </w:r>
      <w:r w:rsidRPr="006B5BEB">
        <w:rPr>
          <w:b/>
          <w:sz w:val="22"/>
          <w:szCs w:val="22"/>
        </w:rPr>
        <w:t>?</w:t>
      </w:r>
      <w:bookmarkEnd w:id="13"/>
    </w:p>
    <w:p w14:paraId="4292A70D" w14:textId="799DC3D4" w:rsidR="00463E1A" w:rsidRPr="00773A96" w:rsidRDefault="00463E1A" w:rsidP="007A7E08">
      <w:pPr>
        <w:pStyle w:val="ListParagraph"/>
        <w:spacing w:after="0"/>
        <w:rPr>
          <w:rFonts w:ascii="Segoe UI" w:hAnsi="Segoe UI" w:cs="Segoe UI"/>
        </w:rPr>
      </w:pPr>
      <w:r w:rsidRPr="00773A96">
        <w:rPr>
          <w:rFonts w:ascii="Segoe UI" w:hAnsi="Segoe UI" w:cs="Segoe UI"/>
        </w:rPr>
        <w:t xml:space="preserve">Check that the rate manual accounts for the variability of the rating components in the form filing, including all </w:t>
      </w:r>
      <w:r w:rsidR="00772F59">
        <w:rPr>
          <w:rFonts w:ascii="Segoe UI" w:hAnsi="Segoe UI" w:cs="Segoe UI"/>
        </w:rPr>
        <w:t xml:space="preserve">variable </w:t>
      </w:r>
      <w:r w:rsidRPr="00773A96">
        <w:rPr>
          <w:rFonts w:ascii="Segoe UI" w:hAnsi="Segoe UI" w:cs="Segoe UI"/>
        </w:rPr>
        <w:t xml:space="preserve">ranges and allowed increments within the ranges. If there is no rate impact for </w:t>
      </w:r>
      <w:r w:rsidR="00A63F9D">
        <w:rPr>
          <w:rFonts w:ascii="Segoe UI" w:hAnsi="Segoe UI" w:cs="Segoe UI"/>
        </w:rPr>
        <w:t>certain</w:t>
      </w:r>
      <w:r w:rsidRPr="00773A96">
        <w:rPr>
          <w:rFonts w:ascii="Segoe UI" w:hAnsi="Segoe UI" w:cs="Segoe UI"/>
        </w:rPr>
        <w:t xml:space="preserve"> benefit variability options, eliminate the variability in the form filing and give all the policies the same benefit</w:t>
      </w:r>
      <w:r w:rsidR="00F43649" w:rsidRPr="00773A96">
        <w:rPr>
          <w:rFonts w:ascii="Segoe UI" w:hAnsi="Segoe UI" w:cs="Segoe UI"/>
        </w:rPr>
        <w:t>.</w:t>
      </w:r>
    </w:p>
    <w:p w14:paraId="0F1F711F" w14:textId="77777777" w:rsidR="007D6C53" w:rsidRPr="00773A96" w:rsidRDefault="007D6C53" w:rsidP="007A7E08">
      <w:pPr>
        <w:spacing w:after="0"/>
        <w:rPr>
          <w:rFonts w:ascii="Segoe UI" w:hAnsi="Segoe UI" w:cs="Segoe UI"/>
          <w:b/>
        </w:rPr>
      </w:pPr>
    </w:p>
    <w:p w14:paraId="24982EFA" w14:textId="62C7D24E" w:rsidR="00BD1D4B" w:rsidRPr="006B5BEB" w:rsidRDefault="007D6C53" w:rsidP="000C0FCD">
      <w:pPr>
        <w:pStyle w:val="Heading1"/>
        <w:spacing w:before="120"/>
        <w:rPr>
          <w:b/>
          <w:sz w:val="22"/>
          <w:szCs w:val="22"/>
        </w:rPr>
      </w:pPr>
      <w:bookmarkStart w:id="14" w:name="_Toc159401255"/>
      <w:r w:rsidRPr="006B5BEB">
        <w:rPr>
          <w:b/>
          <w:sz w:val="22"/>
          <w:szCs w:val="22"/>
        </w:rPr>
        <w:t>Do</w:t>
      </w:r>
      <w:r w:rsidR="000920A9" w:rsidRPr="006B5BEB">
        <w:rPr>
          <w:b/>
          <w:sz w:val="22"/>
          <w:szCs w:val="22"/>
        </w:rPr>
        <w:t>es the filing</w:t>
      </w:r>
      <w:r w:rsidRPr="006B5BEB">
        <w:rPr>
          <w:b/>
          <w:sz w:val="22"/>
          <w:szCs w:val="22"/>
        </w:rPr>
        <w:t xml:space="preserve"> meet the applicable loss ratios</w:t>
      </w:r>
      <w:r w:rsidR="000920A9" w:rsidRPr="006B5BEB">
        <w:rPr>
          <w:b/>
          <w:sz w:val="22"/>
          <w:szCs w:val="22"/>
        </w:rPr>
        <w:t xml:space="preserve"> requirements</w:t>
      </w:r>
      <w:r w:rsidRPr="006B5BEB">
        <w:rPr>
          <w:b/>
          <w:sz w:val="22"/>
          <w:szCs w:val="22"/>
        </w:rPr>
        <w:t>?</w:t>
      </w:r>
      <w:bookmarkEnd w:id="14"/>
    </w:p>
    <w:p w14:paraId="51D3D8EC" w14:textId="26DBE69C" w:rsidR="00BD1D4B" w:rsidRPr="00773A96" w:rsidRDefault="00BD1D4B">
      <w:pPr>
        <w:pStyle w:val="ListParagraph"/>
        <w:numPr>
          <w:ilvl w:val="0"/>
          <w:numId w:val="9"/>
        </w:numPr>
        <w:spacing w:after="0"/>
        <w:rPr>
          <w:rFonts w:ascii="Segoe UI" w:hAnsi="Segoe UI" w:cs="Segoe UI"/>
        </w:rPr>
      </w:pPr>
      <w:r w:rsidRPr="00773A96">
        <w:rPr>
          <w:rFonts w:ascii="Segoe UI" w:hAnsi="Segoe UI" w:cs="Segoe UI"/>
        </w:rPr>
        <w:t>Policies issued prior to 2009 [WAC 284-54-600]:</w:t>
      </w:r>
    </w:p>
    <w:p w14:paraId="168D0BEA" w14:textId="2D542D91"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60% for individual [WAC 284-60-050]</w:t>
      </w:r>
      <w:r w:rsidR="00524303">
        <w:rPr>
          <w:rFonts w:ascii="Segoe UI" w:hAnsi="Segoe UI" w:cs="Segoe UI"/>
        </w:rPr>
        <w:t>;</w:t>
      </w:r>
    </w:p>
    <w:p w14:paraId="3C0ECF2C" w14:textId="5C2B1C2D"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Variable percent for group as outlined in WAC 284-60-060, if applicable.</w:t>
      </w:r>
    </w:p>
    <w:p w14:paraId="7E3D9569" w14:textId="6B2A22E8" w:rsidR="00481800" w:rsidRPr="00773A96" w:rsidRDefault="00481800">
      <w:pPr>
        <w:pStyle w:val="ListParagraph"/>
        <w:numPr>
          <w:ilvl w:val="0"/>
          <w:numId w:val="9"/>
        </w:numPr>
        <w:spacing w:after="0"/>
        <w:rPr>
          <w:rFonts w:ascii="Segoe UI" w:hAnsi="Segoe UI" w:cs="Segoe UI"/>
        </w:rPr>
      </w:pPr>
      <w:r w:rsidRPr="00773A96">
        <w:rPr>
          <w:rFonts w:ascii="Segoe UI" w:hAnsi="Segoe UI" w:cs="Segoe UI"/>
        </w:rPr>
        <w:t>Policies issued 2009 and after [WAC 284-83-230] and group policies issued prior to 2009 as explained in WAC 284-83-0</w:t>
      </w:r>
      <w:r w:rsidR="00415D1C">
        <w:rPr>
          <w:rFonts w:ascii="Segoe UI" w:hAnsi="Segoe UI" w:cs="Segoe UI"/>
        </w:rPr>
        <w:t>0</w:t>
      </w:r>
      <w:r w:rsidRPr="00773A96">
        <w:rPr>
          <w:rFonts w:ascii="Segoe UI" w:hAnsi="Segoe UI" w:cs="Segoe UI"/>
        </w:rPr>
        <w:t>5:</w:t>
      </w:r>
    </w:p>
    <w:p w14:paraId="1B99D063" w14:textId="2E9BE2AF" w:rsidR="00481800" w:rsidRPr="00773A96" w:rsidRDefault="00481800">
      <w:pPr>
        <w:pStyle w:val="ListParagraph"/>
        <w:numPr>
          <w:ilvl w:val="0"/>
          <w:numId w:val="11"/>
        </w:numPr>
        <w:spacing w:after="0"/>
        <w:ind w:left="1620"/>
        <w:rPr>
          <w:rFonts w:ascii="Segoe UI" w:hAnsi="Segoe UI" w:cs="Segoe UI"/>
        </w:rPr>
      </w:pPr>
      <w:r w:rsidRPr="00773A96">
        <w:rPr>
          <w:rFonts w:ascii="Segoe UI" w:hAnsi="Segoe UI" w:cs="Segoe UI"/>
        </w:rPr>
        <w:t>60% for individual [WAC 284-83-230]</w:t>
      </w:r>
      <w:r w:rsidR="00524303">
        <w:rPr>
          <w:rFonts w:ascii="Segoe UI" w:hAnsi="Segoe UI" w:cs="Segoe UI"/>
        </w:rPr>
        <w:t>;</w:t>
      </w:r>
    </w:p>
    <w:p w14:paraId="065E07EE" w14:textId="3F8D6657" w:rsidR="00481800" w:rsidRDefault="00481800">
      <w:pPr>
        <w:pStyle w:val="ListParagraph"/>
        <w:numPr>
          <w:ilvl w:val="0"/>
          <w:numId w:val="11"/>
        </w:numPr>
        <w:spacing w:after="0"/>
        <w:ind w:left="1620"/>
        <w:rPr>
          <w:rFonts w:ascii="Segoe UI" w:hAnsi="Segoe UI" w:cs="Segoe UI"/>
        </w:rPr>
      </w:pPr>
      <w:r w:rsidRPr="00773A96">
        <w:rPr>
          <w:rFonts w:ascii="Segoe UI" w:hAnsi="Segoe UI" w:cs="Segoe UI"/>
        </w:rPr>
        <w:t>70% for group [WAC 284-83-230]</w:t>
      </w:r>
      <w:r w:rsidR="00524303">
        <w:rPr>
          <w:rFonts w:ascii="Segoe UI" w:hAnsi="Segoe UI" w:cs="Segoe UI"/>
        </w:rPr>
        <w:t>.</w:t>
      </w:r>
    </w:p>
    <w:p w14:paraId="53074CB4" w14:textId="77777777" w:rsidR="005F239C" w:rsidRPr="005F239C" w:rsidRDefault="005F239C" w:rsidP="005F239C">
      <w:pPr>
        <w:spacing w:after="0"/>
        <w:rPr>
          <w:rFonts w:ascii="Segoe UI" w:hAnsi="Segoe UI" w:cs="Segoe UI"/>
        </w:rPr>
      </w:pPr>
    </w:p>
    <w:p w14:paraId="630BDF1A" w14:textId="46B5348D" w:rsidR="005F239C" w:rsidRPr="006B5BEB" w:rsidRDefault="005F239C" w:rsidP="006B5BEB">
      <w:pPr>
        <w:pStyle w:val="Heading1"/>
        <w:rPr>
          <w:b/>
          <w:sz w:val="22"/>
          <w:szCs w:val="22"/>
        </w:rPr>
      </w:pPr>
      <w:bookmarkStart w:id="15" w:name="_Toc159401256"/>
      <w:bookmarkStart w:id="16" w:name="_Hlk153459758"/>
      <w:r w:rsidRPr="006B5BEB">
        <w:rPr>
          <w:b/>
          <w:sz w:val="22"/>
          <w:szCs w:val="22"/>
        </w:rPr>
        <w:lastRenderedPageBreak/>
        <w:t xml:space="preserve">For rate filings subject to WAC 284-83, </w:t>
      </w:r>
      <w:bookmarkStart w:id="17" w:name="_Hlk153446178"/>
      <w:r w:rsidR="0025545A">
        <w:rPr>
          <w:b/>
          <w:sz w:val="22"/>
          <w:szCs w:val="22"/>
        </w:rPr>
        <w:t>include a</w:t>
      </w:r>
      <w:r w:rsidRPr="006B5BEB">
        <w:rPr>
          <w:b/>
          <w:sz w:val="22"/>
          <w:szCs w:val="22"/>
        </w:rPr>
        <w:t xml:space="preserve"> document titled </w:t>
      </w:r>
      <w:r w:rsidRPr="006B5BEB">
        <w:rPr>
          <w:b/>
          <w:sz w:val="22"/>
          <w:szCs w:val="22"/>
          <w:u w:val="single"/>
        </w:rPr>
        <w:t>Disclosure of Rate Practices</w:t>
      </w:r>
      <w:r w:rsidRPr="006B5BEB">
        <w:rPr>
          <w:b/>
          <w:sz w:val="22"/>
          <w:szCs w:val="22"/>
        </w:rPr>
        <w:t>.</w:t>
      </w:r>
      <w:bookmarkEnd w:id="15"/>
      <w:bookmarkEnd w:id="17"/>
    </w:p>
    <w:p w14:paraId="19C5C445" w14:textId="5B2E1F32" w:rsidR="005F239C" w:rsidRPr="005F239C" w:rsidRDefault="005F239C" w:rsidP="005F239C">
      <w:pPr>
        <w:pStyle w:val="ListParagraph"/>
        <w:spacing w:after="0"/>
        <w:rPr>
          <w:rFonts w:ascii="Segoe UI" w:hAnsi="Segoe UI" w:cs="Segoe UI"/>
        </w:rPr>
      </w:pPr>
      <w:bookmarkStart w:id="18" w:name="_Hlk153446245"/>
      <w:r w:rsidRPr="00773A96">
        <w:rPr>
          <w:rFonts w:ascii="Segoe UI" w:hAnsi="Segoe UI" w:cs="Segoe UI"/>
        </w:rPr>
        <w:t>This is the required disclosure of rating practices to consumers</w:t>
      </w:r>
      <w:r w:rsidRPr="005F239C">
        <w:rPr>
          <w:rFonts w:ascii="Segoe UI" w:hAnsi="Segoe UI" w:cs="Segoe UI"/>
        </w:rPr>
        <w:t>, which includes information under WAC 284-83-035</w:t>
      </w:r>
      <w:r>
        <w:rPr>
          <w:rFonts w:ascii="Segoe UI" w:hAnsi="Segoe UI" w:cs="Segoe UI"/>
        </w:rPr>
        <w:t xml:space="preserve"> [</w:t>
      </w:r>
      <w:r w:rsidR="00FD0E5E">
        <w:rPr>
          <w:rFonts w:ascii="Segoe UI" w:hAnsi="Segoe UI" w:cs="Segoe UI"/>
        </w:rPr>
        <w:t xml:space="preserve">see also </w:t>
      </w:r>
      <w:r>
        <w:rPr>
          <w:rFonts w:ascii="Segoe UI" w:hAnsi="Segoe UI" w:cs="Segoe UI"/>
        </w:rPr>
        <w:t>WAC 284-83-090(2)(a)]</w:t>
      </w:r>
      <w:r w:rsidRPr="00773A96">
        <w:rPr>
          <w:rFonts w:ascii="Segoe UI" w:hAnsi="Segoe UI" w:cs="Segoe UI"/>
        </w:rPr>
        <w:t>.</w:t>
      </w:r>
      <w:bookmarkEnd w:id="16"/>
    </w:p>
    <w:bookmarkEnd w:id="18"/>
    <w:p w14:paraId="3EA215EC" w14:textId="3D522EA0" w:rsidR="00481800" w:rsidRPr="00773A96" w:rsidRDefault="00481800" w:rsidP="007A7E08">
      <w:pPr>
        <w:pStyle w:val="ListParagraph"/>
        <w:spacing w:after="0"/>
        <w:rPr>
          <w:rFonts w:ascii="Segoe UI" w:hAnsi="Segoe UI" w:cs="Segoe UI"/>
          <w:b/>
        </w:rPr>
      </w:pPr>
    </w:p>
    <w:p w14:paraId="7AD0EB5C" w14:textId="1FE2E395" w:rsidR="007D6C53" w:rsidRDefault="007D6C53" w:rsidP="006B5BEB">
      <w:pPr>
        <w:pStyle w:val="Heading1"/>
        <w:rPr>
          <w:b/>
          <w:sz w:val="22"/>
          <w:szCs w:val="22"/>
        </w:rPr>
      </w:pPr>
      <w:bookmarkStart w:id="19" w:name="_Toc159401257"/>
      <w:r w:rsidRPr="006B5BEB">
        <w:rPr>
          <w:b/>
          <w:sz w:val="22"/>
          <w:szCs w:val="22"/>
        </w:rPr>
        <w:t>Do</w:t>
      </w:r>
      <w:r w:rsidR="002968A3">
        <w:rPr>
          <w:b/>
          <w:sz w:val="22"/>
          <w:szCs w:val="22"/>
        </w:rPr>
        <w:t>es</w:t>
      </w:r>
      <w:r w:rsidRPr="006B5BEB">
        <w:rPr>
          <w:b/>
          <w:sz w:val="22"/>
          <w:szCs w:val="22"/>
        </w:rPr>
        <w:t xml:space="preserve"> </w:t>
      </w:r>
      <w:r w:rsidR="006B029A">
        <w:rPr>
          <w:b/>
          <w:sz w:val="22"/>
          <w:szCs w:val="22"/>
        </w:rPr>
        <w:t xml:space="preserve">the </w:t>
      </w:r>
      <w:r w:rsidR="0025545A">
        <w:rPr>
          <w:b/>
          <w:sz w:val="22"/>
          <w:szCs w:val="22"/>
        </w:rPr>
        <w:t>filing</w:t>
      </w:r>
      <w:r w:rsidRPr="006B5BEB">
        <w:rPr>
          <w:b/>
          <w:sz w:val="22"/>
          <w:szCs w:val="22"/>
        </w:rPr>
        <w:t xml:space="preserve"> contain enough information for us to</w:t>
      </w:r>
      <w:r w:rsidR="00AE4954" w:rsidRPr="006B5BEB">
        <w:rPr>
          <w:b/>
          <w:sz w:val="22"/>
          <w:szCs w:val="22"/>
        </w:rPr>
        <w:t xml:space="preserve"> </w:t>
      </w:r>
      <w:r w:rsidR="0025545A">
        <w:rPr>
          <w:b/>
          <w:sz w:val="22"/>
          <w:szCs w:val="22"/>
        </w:rPr>
        <w:t xml:space="preserve">do a </w:t>
      </w:r>
      <w:r w:rsidR="00AE4954" w:rsidRPr="006B5BEB">
        <w:rPr>
          <w:b/>
          <w:sz w:val="22"/>
          <w:szCs w:val="22"/>
        </w:rPr>
        <w:t>proper</w:t>
      </w:r>
      <w:r w:rsidRPr="006B5BEB">
        <w:rPr>
          <w:b/>
          <w:sz w:val="22"/>
          <w:szCs w:val="22"/>
        </w:rPr>
        <w:t xml:space="preserve"> review?</w:t>
      </w:r>
      <w:bookmarkEnd w:id="19"/>
    </w:p>
    <w:p w14:paraId="6E473422" w14:textId="5BC29428" w:rsidR="00883F5D" w:rsidRPr="00883F5D" w:rsidRDefault="0025545A" w:rsidP="00E934E8">
      <w:pPr>
        <w:pStyle w:val="Heading2"/>
      </w:pPr>
      <w:bookmarkStart w:id="20" w:name="_Toc159401258"/>
      <w:r w:rsidRPr="003E66B5">
        <w:rPr>
          <w:rFonts w:ascii="Segoe UI" w:hAnsi="Segoe UI" w:cs="Segoe UI"/>
          <w:sz w:val="22"/>
          <w:u w:val="single"/>
        </w:rPr>
        <w:t>Actuarial Memorandum: General Information</w:t>
      </w:r>
      <w:bookmarkEnd w:id="20"/>
    </w:p>
    <w:p w14:paraId="43ADDE44" w14:textId="77777777" w:rsidR="002C68ED" w:rsidRDefault="002C68ED">
      <w:pPr>
        <w:pStyle w:val="ListParagraph"/>
        <w:numPr>
          <w:ilvl w:val="0"/>
          <w:numId w:val="12"/>
        </w:numPr>
        <w:spacing w:after="0"/>
        <w:rPr>
          <w:rFonts w:ascii="Segoe UI" w:hAnsi="Segoe UI" w:cs="Segoe UI"/>
        </w:rPr>
      </w:pPr>
      <w:r>
        <w:rPr>
          <w:rFonts w:ascii="Segoe UI" w:hAnsi="Segoe UI" w:cs="Segoe UI"/>
        </w:rPr>
        <w:t>Include a list of the policy and certificate form numbers affected.</w:t>
      </w:r>
    </w:p>
    <w:p w14:paraId="502031ED" w14:textId="77777777" w:rsidR="0025545A" w:rsidRPr="00773A96" w:rsidRDefault="0025545A">
      <w:pPr>
        <w:pStyle w:val="ListParagraph"/>
        <w:numPr>
          <w:ilvl w:val="0"/>
          <w:numId w:val="12"/>
        </w:numPr>
        <w:spacing w:after="0"/>
        <w:rPr>
          <w:rFonts w:ascii="Segoe UI" w:hAnsi="Segoe UI" w:cs="Segoe UI"/>
        </w:rPr>
      </w:pPr>
      <w:r w:rsidRPr="00773A96">
        <w:rPr>
          <w:rFonts w:ascii="Segoe UI" w:hAnsi="Segoe UI" w:cs="Segoe UI"/>
        </w:rPr>
        <w:t>For updated experience projections [WAC 284-83-090(4) or (5)], specify the state and/or SERFF tracking number of the rate filing which the updated projections apply to and the tracking number(s) of all prior experience projection filings.</w:t>
      </w:r>
    </w:p>
    <w:p w14:paraId="0788A934" w14:textId="03219D8C" w:rsidR="0025545A" w:rsidRDefault="00347676">
      <w:pPr>
        <w:pStyle w:val="ListParagraph"/>
        <w:numPr>
          <w:ilvl w:val="0"/>
          <w:numId w:val="12"/>
        </w:numPr>
        <w:spacing w:after="0"/>
        <w:rPr>
          <w:rFonts w:ascii="Segoe UI" w:hAnsi="Segoe UI" w:cs="Segoe UI"/>
        </w:rPr>
      </w:pPr>
      <w:r w:rsidRPr="00773A96">
        <w:rPr>
          <w:rFonts w:ascii="Segoe UI" w:hAnsi="Segoe UI" w:cs="Segoe UI"/>
        </w:rPr>
        <w:t>Include a description of the data used i</w:t>
      </w:r>
      <w:r w:rsidR="00CC640B" w:rsidRPr="00773A96">
        <w:rPr>
          <w:rFonts w:ascii="Segoe UI" w:hAnsi="Segoe UI" w:cs="Segoe UI"/>
        </w:rPr>
        <w:t xml:space="preserve">n the development of </w:t>
      </w:r>
      <w:r w:rsidR="000920A9" w:rsidRPr="00773A96">
        <w:rPr>
          <w:rFonts w:ascii="Segoe UI" w:hAnsi="Segoe UI" w:cs="Segoe UI"/>
        </w:rPr>
        <w:t xml:space="preserve">the proposed </w:t>
      </w:r>
      <w:r w:rsidR="00CC640B" w:rsidRPr="00773A96">
        <w:rPr>
          <w:rFonts w:ascii="Segoe UI" w:hAnsi="Segoe UI" w:cs="Segoe UI"/>
        </w:rPr>
        <w:t xml:space="preserve">rates and how the </w:t>
      </w:r>
      <w:r w:rsidR="00570BBE" w:rsidRPr="00773A96">
        <w:rPr>
          <w:rFonts w:ascii="Segoe UI" w:hAnsi="Segoe UI" w:cs="Segoe UI"/>
        </w:rPr>
        <w:t xml:space="preserve">data analysis impacted the </w:t>
      </w:r>
      <w:r w:rsidR="00BE0344" w:rsidRPr="00773A96">
        <w:rPr>
          <w:rFonts w:ascii="Segoe UI" w:hAnsi="Segoe UI" w:cs="Segoe UI"/>
        </w:rPr>
        <w:t>rates and factors</w:t>
      </w:r>
      <w:r w:rsidR="00570BBE" w:rsidRPr="00773A96">
        <w:rPr>
          <w:rFonts w:ascii="Segoe UI" w:hAnsi="Segoe UI" w:cs="Segoe UI"/>
        </w:rPr>
        <w:t xml:space="preserve"> in the rate manual.</w:t>
      </w:r>
    </w:p>
    <w:p w14:paraId="3F5DFF09" w14:textId="5BD15551" w:rsidR="0025545A" w:rsidRPr="00773A96" w:rsidRDefault="0025545A">
      <w:pPr>
        <w:pStyle w:val="ListParagraph"/>
        <w:numPr>
          <w:ilvl w:val="0"/>
          <w:numId w:val="12"/>
        </w:numPr>
        <w:spacing w:after="0"/>
        <w:rPr>
          <w:rFonts w:ascii="Segoe UI" w:hAnsi="Segoe UI" w:cs="Segoe UI"/>
        </w:rPr>
      </w:pPr>
      <w:r>
        <w:rPr>
          <w:rFonts w:ascii="Segoe UI" w:hAnsi="Segoe UI" w:cs="Segoe UI"/>
        </w:rPr>
        <w:t>I</w:t>
      </w:r>
      <w:r w:rsidRPr="006D5F27">
        <w:rPr>
          <w:rFonts w:ascii="Segoe UI" w:hAnsi="Segoe UI" w:cs="Segoe UI"/>
        </w:rPr>
        <w:t xml:space="preserve">nclude a section in the actuarial </w:t>
      </w:r>
      <w:r w:rsidRPr="0092526C">
        <w:rPr>
          <w:rFonts w:ascii="Segoe UI" w:hAnsi="Segoe UI" w:cs="Segoe UI"/>
        </w:rPr>
        <w:t xml:space="preserve">memorandum outlining </w:t>
      </w:r>
      <w:r w:rsidR="008A5A7B">
        <w:rPr>
          <w:rFonts w:ascii="Segoe UI" w:hAnsi="Segoe UI" w:cs="Segoe UI"/>
        </w:rPr>
        <w:t>the changes</w:t>
      </w:r>
      <w:r w:rsidRPr="0092526C">
        <w:rPr>
          <w:rFonts w:ascii="Segoe UI" w:hAnsi="Segoe UI" w:cs="Segoe UI"/>
        </w:rPr>
        <w:t xml:space="preserve"> since the prior </w:t>
      </w:r>
      <w:r>
        <w:rPr>
          <w:rFonts w:ascii="Segoe UI" w:hAnsi="Segoe UI" w:cs="Segoe UI"/>
        </w:rPr>
        <w:t xml:space="preserve">rate or experience report </w:t>
      </w:r>
      <w:r w:rsidRPr="0092526C">
        <w:rPr>
          <w:rFonts w:ascii="Segoe UI" w:hAnsi="Segoe UI" w:cs="Segoe UI"/>
        </w:rPr>
        <w:t>filing and how the exhibits support your requested increase</w:t>
      </w:r>
      <w:r w:rsidRPr="006D5F27">
        <w:rPr>
          <w:rFonts w:ascii="Segoe UI" w:hAnsi="Segoe UI" w:cs="Segoe UI"/>
        </w:rPr>
        <w:t>.</w:t>
      </w:r>
    </w:p>
    <w:p w14:paraId="70447362" w14:textId="77777777" w:rsidR="00883F5D" w:rsidRPr="00773A96" w:rsidRDefault="00883F5D">
      <w:pPr>
        <w:pStyle w:val="ListParagraph"/>
        <w:numPr>
          <w:ilvl w:val="0"/>
          <w:numId w:val="12"/>
        </w:numPr>
        <w:spacing w:after="0"/>
        <w:rPr>
          <w:rFonts w:ascii="Segoe UI" w:hAnsi="Segoe UI" w:cs="Segoe UI"/>
        </w:rPr>
      </w:pPr>
      <w:r w:rsidRPr="00773A96">
        <w:rPr>
          <w:rFonts w:ascii="Segoe UI" w:hAnsi="Segoe UI" w:cs="Segoe UI"/>
        </w:rPr>
        <w:t>For rate filings subject to WAC 284-83, indicate if the filing includes an Exceptional Increase [WAC 284-83-010(2)].</w:t>
      </w:r>
    </w:p>
    <w:p w14:paraId="079DDF6B" w14:textId="046A1901" w:rsidR="00883F5D" w:rsidRDefault="00883F5D">
      <w:pPr>
        <w:pStyle w:val="ListParagraph"/>
        <w:numPr>
          <w:ilvl w:val="0"/>
          <w:numId w:val="12"/>
        </w:numPr>
        <w:spacing w:after="0"/>
        <w:rPr>
          <w:rFonts w:ascii="Segoe UI" w:hAnsi="Segoe UI" w:cs="Segoe UI"/>
        </w:rPr>
      </w:pPr>
      <w:r>
        <w:rPr>
          <w:rFonts w:ascii="Segoe UI" w:hAnsi="Segoe UI" w:cs="Segoe UI"/>
        </w:rPr>
        <w:t xml:space="preserve">Include </w:t>
      </w:r>
      <w:r w:rsidRPr="00D7004D">
        <w:rPr>
          <w:rFonts w:ascii="Segoe UI" w:hAnsi="Segoe UI" w:cs="Segoe UI"/>
        </w:rPr>
        <w:t>a section discussing the impact on the proposed rate increase, if any, due to the Application of Asset Adequacy Testing to Long-Term Care Insurance Reserves in Actuarial Guideline LI (</w:t>
      </w:r>
      <w:r w:rsidR="0053514B" w:rsidRPr="00D7004D">
        <w:rPr>
          <w:rFonts w:ascii="Segoe UI" w:hAnsi="Segoe UI" w:cs="Segoe UI"/>
        </w:rPr>
        <w:t>AG</w:t>
      </w:r>
      <w:r w:rsidR="0053514B">
        <w:rPr>
          <w:rFonts w:ascii="Segoe UI" w:hAnsi="Segoe UI" w:cs="Segoe UI"/>
        </w:rPr>
        <w:t>-</w:t>
      </w:r>
      <w:r w:rsidRPr="00D7004D">
        <w:rPr>
          <w:rFonts w:ascii="Segoe UI" w:hAnsi="Segoe UI" w:cs="Segoe UI"/>
        </w:rPr>
        <w:t>51)</w:t>
      </w:r>
      <w:r>
        <w:rPr>
          <w:rFonts w:ascii="Segoe UI" w:hAnsi="Segoe UI" w:cs="Segoe UI"/>
        </w:rPr>
        <w:t xml:space="preserve"> [also see WAC 284-83-090(2)(c)(ii)]</w:t>
      </w:r>
      <w:r w:rsidRPr="00D7004D">
        <w:rPr>
          <w:rFonts w:ascii="Segoe UI" w:hAnsi="Segoe UI" w:cs="Segoe UI"/>
        </w:rPr>
        <w:t>.</w:t>
      </w:r>
    </w:p>
    <w:p w14:paraId="212C34F7" w14:textId="77777777" w:rsidR="00883F5D" w:rsidRDefault="00883F5D">
      <w:pPr>
        <w:pStyle w:val="ListParagraph"/>
        <w:numPr>
          <w:ilvl w:val="0"/>
          <w:numId w:val="12"/>
        </w:numPr>
        <w:spacing w:after="0"/>
        <w:rPr>
          <w:rFonts w:ascii="Segoe UI" w:hAnsi="Segoe UI" w:cs="Segoe UI"/>
        </w:rPr>
      </w:pPr>
      <w:r w:rsidRPr="00773A96">
        <w:rPr>
          <w:rFonts w:ascii="Segoe UI" w:hAnsi="Segoe UI" w:cs="Segoe UI"/>
        </w:rPr>
        <w:t>If the credibility of state-specific or regional experience is ignored, it risks failing to set adequate rates and reserves for policy blocks from states that represent greater risks. Using your credibility bases, estimate the level of credibility of the Washington experience. Describe how you adjust the experience for partial credibility to create proposed Washington rates.</w:t>
      </w:r>
    </w:p>
    <w:p w14:paraId="7DC561C6" w14:textId="1D1FDD59" w:rsidR="00000BA0" w:rsidRPr="00663D86" w:rsidRDefault="00883F5D">
      <w:pPr>
        <w:pStyle w:val="ListParagraph"/>
        <w:numPr>
          <w:ilvl w:val="0"/>
          <w:numId w:val="12"/>
        </w:numPr>
        <w:spacing w:after="0"/>
        <w:contextualSpacing w:val="0"/>
        <w:rPr>
          <w:rFonts w:ascii="Segoe UI" w:hAnsi="Segoe UI" w:cs="Segoe UI"/>
        </w:rPr>
      </w:pPr>
      <w:r w:rsidRPr="00663D86">
        <w:rPr>
          <w:rFonts w:ascii="Segoe UI" w:hAnsi="Segoe UI" w:cs="Segoe UI"/>
        </w:rPr>
        <w:t xml:space="preserve">Include a table, in the actuarial memorandum, listing the historical increases, including the state and/or SERFF tracking number, the filing disposition date, </w:t>
      </w:r>
      <w:r w:rsidRPr="00850934">
        <w:rPr>
          <w:rFonts w:ascii="Segoe UI" w:hAnsi="Segoe UI" w:cs="Segoe UI"/>
          <w:u w:val="single"/>
        </w:rPr>
        <w:t>and the effective date</w:t>
      </w:r>
      <w:r w:rsidRPr="00663D86">
        <w:rPr>
          <w:rFonts w:ascii="Segoe UI" w:hAnsi="Segoe UI" w:cs="Segoe UI"/>
        </w:rPr>
        <w:t xml:space="preserve"> of the rate increases. If any filing is part of a phased-in rate increase, list the effective date </w:t>
      </w:r>
      <w:r w:rsidR="00EB60D5">
        <w:rPr>
          <w:rFonts w:ascii="Segoe UI" w:hAnsi="Segoe UI" w:cs="Segoe UI"/>
        </w:rPr>
        <w:t xml:space="preserve">and percent </w:t>
      </w:r>
      <w:r w:rsidRPr="00663D86">
        <w:rPr>
          <w:rFonts w:ascii="Segoe UI" w:hAnsi="Segoe UI" w:cs="Segoe UI"/>
        </w:rPr>
        <w:t>of each increase included in the filing; if each phase is filed separately, indicate which installment is being filed (such as “</w:t>
      </w:r>
      <w:r w:rsidR="004E11CF">
        <w:rPr>
          <w:rFonts w:ascii="Segoe UI" w:hAnsi="Segoe UI" w:cs="Segoe UI"/>
        </w:rPr>
        <w:t>phase</w:t>
      </w:r>
      <w:r w:rsidRPr="00663D86">
        <w:rPr>
          <w:rFonts w:ascii="Segoe UI" w:hAnsi="Segoe UI" w:cs="Segoe UI"/>
        </w:rPr>
        <w:t xml:space="preserve"> 2 of 3”).</w:t>
      </w:r>
      <w:r w:rsidR="00663D86" w:rsidRPr="00663D86">
        <w:rPr>
          <w:rFonts w:ascii="Segoe UI" w:hAnsi="Segoe UI" w:cs="Segoe UI"/>
        </w:rPr>
        <w:t xml:space="preserve"> </w:t>
      </w:r>
      <w:r w:rsidRPr="00663D86">
        <w:rPr>
          <w:rFonts w:ascii="Segoe UI" w:hAnsi="Segoe UI" w:cs="Segoe UI"/>
        </w:rPr>
        <w:t>If some or all policies are assumed blocks from another company, list the ceding company, assum</w:t>
      </w:r>
      <w:r w:rsidR="00874C59">
        <w:rPr>
          <w:rFonts w:ascii="Segoe UI" w:hAnsi="Segoe UI" w:cs="Segoe UI"/>
        </w:rPr>
        <w:t>ption</w:t>
      </w:r>
      <w:r w:rsidRPr="00663D86">
        <w:rPr>
          <w:rFonts w:ascii="Segoe UI" w:hAnsi="Segoe UI" w:cs="Segoe UI"/>
        </w:rPr>
        <w:t xml:space="preserve"> date, and the prior increase</w:t>
      </w:r>
      <w:r w:rsidR="00122FAB">
        <w:rPr>
          <w:rFonts w:ascii="Segoe UI" w:hAnsi="Segoe UI" w:cs="Segoe UI"/>
        </w:rPr>
        <w:t>s</w:t>
      </w:r>
      <w:r w:rsidRPr="00663D86">
        <w:rPr>
          <w:rFonts w:ascii="Segoe UI" w:hAnsi="Segoe UI" w:cs="Segoe UI"/>
        </w:rPr>
        <w:t xml:space="preserve"> of the ceding </w:t>
      </w:r>
      <w:r w:rsidR="007C504E" w:rsidRPr="00663D86">
        <w:rPr>
          <w:rFonts w:ascii="Segoe UI" w:hAnsi="Segoe UI" w:cs="Segoe UI"/>
        </w:rPr>
        <w:t>company</w:t>
      </w:r>
      <w:r w:rsidRPr="00663D86">
        <w:rPr>
          <w:rFonts w:ascii="Segoe UI" w:hAnsi="Segoe UI" w:cs="Segoe UI"/>
        </w:rPr>
        <w:t xml:space="preserve"> if known.</w:t>
      </w:r>
    </w:p>
    <w:p w14:paraId="6EFB2D75" w14:textId="64D2A303" w:rsidR="00883F5D" w:rsidRPr="00000BA0" w:rsidRDefault="00883F5D">
      <w:pPr>
        <w:pStyle w:val="ListParagraph"/>
        <w:numPr>
          <w:ilvl w:val="0"/>
          <w:numId w:val="12"/>
        </w:numPr>
        <w:spacing w:after="0"/>
        <w:rPr>
          <w:rFonts w:ascii="Segoe UI" w:hAnsi="Segoe UI" w:cs="Segoe UI"/>
        </w:rPr>
      </w:pPr>
      <w:r w:rsidRPr="00000BA0">
        <w:rPr>
          <w:rFonts w:ascii="Segoe UI" w:hAnsi="Segoe UI" w:cs="Segoe UI"/>
        </w:rPr>
        <w:t xml:space="preserve">Disclose the analysis performed to determine why a rate adjustment is necessary, which pricing assumptions were not realized and why, and what other actions taken by the issuer have been relied </w:t>
      </w:r>
      <w:r w:rsidR="00DE5CDF" w:rsidRPr="00000BA0">
        <w:rPr>
          <w:rFonts w:ascii="Segoe UI" w:hAnsi="Segoe UI" w:cs="Segoe UI"/>
        </w:rPr>
        <w:t>up</w:t>
      </w:r>
      <w:r w:rsidRPr="00000BA0">
        <w:rPr>
          <w:rFonts w:ascii="Segoe UI" w:hAnsi="Segoe UI" w:cs="Segoe UI"/>
        </w:rPr>
        <w:t>on by the actuary [WAC 284-83-090(2)(c)(iii)].</w:t>
      </w:r>
    </w:p>
    <w:p w14:paraId="3BA5C3EC" w14:textId="74D62EB6" w:rsidR="0025545A" w:rsidRPr="000C0FCD" w:rsidRDefault="00883F5D">
      <w:pPr>
        <w:pStyle w:val="ListParagraph"/>
        <w:numPr>
          <w:ilvl w:val="0"/>
          <w:numId w:val="12"/>
        </w:numPr>
        <w:spacing w:after="0"/>
        <w:rPr>
          <w:rFonts w:ascii="Segoe UI" w:hAnsi="Segoe UI" w:cs="Segoe UI"/>
        </w:rPr>
      </w:pPr>
      <w:r w:rsidRPr="000C0FCD">
        <w:rPr>
          <w:rFonts w:ascii="Segoe UI" w:hAnsi="Segoe UI" w:cs="Segoe UI"/>
        </w:rPr>
        <w:t>Specify the calculating period (the time span over which the actuary expects the premium rates, whether level or increasing, to remain adequate in accordance with his or her best estimate of future experience and during which the actuary does not expect to request a rate increase [WAC 284-60-030(4), WAC 284-83-210(3)]</w:t>
      </w:r>
      <w:r w:rsidR="001374BB">
        <w:rPr>
          <w:rFonts w:ascii="Segoe UI" w:hAnsi="Segoe UI" w:cs="Segoe UI"/>
        </w:rPr>
        <w:t>)</w:t>
      </w:r>
      <w:r w:rsidRPr="000C0FCD">
        <w:rPr>
          <w:rFonts w:ascii="Segoe UI" w:hAnsi="Segoe UI" w:cs="Segoe UI"/>
        </w:rPr>
        <w:t xml:space="preserve">. </w:t>
      </w:r>
      <w:r w:rsidR="00DE5CDF">
        <w:rPr>
          <w:rFonts w:ascii="Segoe UI" w:hAnsi="Segoe UI" w:cs="Segoe UI"/>
        </w:rPr>
        <w:t>Note, however, that t</w:t>
      </w:r>
      <w:r w:rsidRPr="000C0FCD">
        <w:rPr>
          <w:rFonts w:ascii="Segoe UI" w:hAnsi="Segoe UI" w:cs="Segoe UI"/>
        </w:rPr>
        <w:t>he actual updated rate manual may be submitted sooner or later than the current expectation.</w:t>
      </w:r>
    </w:p>
    <w:p w14:paraId="24262FE0" w14:textId="77777777" w:rsidR="0025545A" w:rsidRDefault="0025545A" w:rsidP="0025545A">
      <w:pPr>
        <w:spacing w:after="0"/>
        <w:rPr>
          <w:rFonts w:ascii="Segoe UI" w:hAnsi="Segoe UI" w:cs="Segoe UI"/>
        </w:rPr>
      </w:pPr>
    </w:p>
    <w:p w14:paraId="01B2DEF8" w14:textId="565427EF" w:rsidR="0025545A" w:rsidRPr="008F40A2" w:rsidRDefault="00883F5D" w:rsidP="002A5125">
      <w:pPr>
        <w:pStyle w:val="Heading2"/>
        <w:rPr>
          <w:rFonts w:ascii="Segoe UI" w:hAnsi="Segoe UI" w:cs="Segoe UI"/>
          <w:sz w:val="20"/>
        </w:rPr>
      </w:pPr>
      <w:bookmarkStart w:id="21" w:name="_Toc159401259"/>
      <w:r w:rsidRPr="008F40A2">
        <w:rPr>
          <w:rFonts w:ascii="Segoe UI" w:hAnsi="Segoe UI" w:cs="Segoe UI"/>
          <w:sz w:val="22"/>
          <w:u w:val="single"/>
        </w:rPr>
        <w:t xml:space="preserve">Actuarial Memorandum: </w:t>
      </w:r>
      <w:r w:rsidR="000C0FCD" w:rsidRPr="008F40A2">
        <w:rPr>
          <w:rFonts w:ascii="Segoe UI" w:hAnsi="Segoe UI" w:cs="Segoe UI"/>
          <w:sz w:val="22"/>
          <w:u w:val="single"/>
        </w:rPr>
        <w:t>Assumptions</w:t>
      </w:r>
      <w:bookmarkEnd w:id="21"/>
    </w:p>
    <w:p w14:paraId="03171B15" w14:textId="005A7914"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Provide cost and utilization trends </w:t>
      </w:r>
      <w:r w:rsidR="00EB60D5">
        <w:rPr>
          <w:rFonts w:ascii="Segoe UI" w:hAnsi="Segoe UI" w:cs="Segoe UI"/>
        </w:rPr>
        <w:t>and</w:t>
      </w:r>
      <w:r w:rsidR="00EB60D5" w:rsidRPr="00773A96">
        <w:rPr>
          <w:rFonts w:ascii="Segoe UI" w:hAnsi="Segoe UI" w:cs="Segoe UI"/>
        </w:rPr>
        <w:t xml:space="preserve"> </w:t>
      </w:r>
      <w:r w:rsidRPr="00773A96">
        <w:rPr>
          <w:rFonts w:ascii="Segoe UI" w:hAnsi="Segoe UI" w:cs="Segoe UI"/>
        </w:rPr>
        <w:t>other adjustment factors applied to the data.</w:t>
      </w:r>
    </w:p>
    <w:p w14:paraId="287699CC" w14:textId="308862D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Include the general description and source of each assumption used. Assumptions should include, but not be limited to, voluntary lapse by duration, anticipated shock lapses due to a rate increase, anti-selection among policyholders who have opted to reduce benefits when rates increase, mortality rates and tables, morbidity rates and expected claim costs, anticipated loss ratio by duration, and if applicable, underwriting and selection wear-off factors.</w:t>
      </w:r>
    </w:p>
    <w:p w14:paraId="68F6DE2F" w14:textId="2ED342D2" w:rsidR="00883F5D" w:rsidRDefault="00883F5D">
      <w:pPr>
        <w:pStyle w:val="ListParagraph"/>
        <w:numPr>
          <w:ilvl w:val="0"/>
          <w:numId w:val="18"/>
        </w:numPr>
        <w:spacing w:after="0"/>
        <w:ind w:left="1080"/>
        <w:rPr>
          <w:rFonts w:ascii="Segoe UI" w:hAnsi="Segoe UI" w:cs="Segoe UI"/>
        </w:rPr>
      </w:pPr>
      <w:r>
        <w:rPr>
          <w:rFonts w:ascii="Segoe UI" w:hAnsi="Segoe UI" w:cs="Segoe UI"/>
        </w:rPr>
        <w:t>LTC</w:t>
      </w:r>
      <w:r w:rsidRPr="00773A96">
        <w:rPr>
          <w:rFonts w:ascii="Segoe UI" w:hAnsi="Segoe UI" w:cs="Segoe UI"/>
        </w:rPr>
        <w:t xml:space="preserve"> morbidity experience can often be understated due to the lack of reporting (i.e., because no claim is filed). Explain how you estimate unreported deaths. Show how you adjust for unknowns </w:t>
      </w:r>
      <w:r w:rsidR="00E51D02">
        <w:rPr>
          <w:rFonts w:ascii="Segoe UI" w:hAnsi="Segoe UI" w:cs="Segoe UI"/>
        </w:rPr>
        <w:t>(</w:t>
      </w:r>
      <w:r w:rsidRPr="00773A96">
        <w:rPr>
          <w:rFonts w:ascii="Segoe UI" w:hAnsi="Segoe UI" w:cs="Segoe UI"/>
        </w:rPr>
        <w:t xml:space="preserve">e.g., </w:t>
      </w:r>
      <w:r w:rsidR="007E7545">
        <w:rPr>
          <w:rFonts w:ascii="Segoe UI" w:hAnsi="Segoe UI" w:cs="Segoe UI"/>
        </w:rPr>
        <w:t xml:space="preserve">filling in </w:t>
      </w:r>
      <w:r w:rsidRPr="00773A96">
        <w:rPr>
          <w:rFonts w:ascii="Segoe UI" w:hAnsi="Segoe UI" w:cs="Segoe UI"/>
        </w:rPr>
        <w:t>missing data as implied by reviewing the Social Security Death Master File</w:t>
      </w:r>
      <w:r w:rsidR="00E51D02">
        <w:rPr>
          <w:rFonts w:ascii="Segoe UI" w:hAnsi="Segoe UI" w:cs="Segoe UI"/>
        </w:rPr>
        <w:t>)</w:t>
      </w:r>
      <w:r w:rsidRPr="00773A96">
        <w:rPr>
          <w:rFonts w:ascii="Segoe UI" w:hAnsi="Segoe UI" w:cs="Segoe UI"/>
        </w:rPr>
        <w:t>.</w:t>
      </w:r>
    </w:p>
    <w:p w14:paraId="21774171" w14:textId="1BF4E93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Show how you adjusted expected lapses, morbidity, </w:t>
      </w:r>
      <w:r w:rsidR="00E51D02">
        <w:rPr>
          <w:rFonts w:ascii="Segoe UI" w:hAnsi="Segoe UI" w:cs="Segoe UI"/>
        </w:rPr>
        <w:t>and/</w:t>
      </w:r>
      <w:r w:rsidRPr="00773A96">
        <w:rPr>
          <w:rFonts w:ascii="Segoe UI" w:hAnsi="Segoe UI" w:cs="Segoe UI"/>
        </w:rPr>
        <w:t xml:space="preserve">or mortality due to the probability of anti-selection among those who have opted to reduce benefits </w:t>
      </w:r>
      <w:r w:rsidR="00E51D02">
        <w:rPr>
          <w:rFonts w:ascii="Segoe UI" w:hAnsi="Segoe UI" w:cs="Segoe UI"/>
        </w:rPr>
        <w:t>(</w:t>
      </w:r>
      <w:r w:rsidRPr="00773A96">
        <w:rPr>
          <w:rFonts w:ascii="Segoe UI" w:hAnsi="Segoe UI" w:cs="Segoe UI"/>
        </w:rPr>
        <w:t>e.g., when rates increase</w:t>
      </w:r>
      <w:r w:rsidR="00E51D02">
        <w:rPr>
          <w:rFonts w:ascii="Segoe UI" w:hAnsi="Segoe UI" w:cs="Segoe UI"/>
        </w:rPr>
        <w:t>)</w:t>
      </w:r>
      <w:r w:rsidRPr="00773A96">
        <w:rPr>
          <w:rFonts w:ascii="Segoe UI" w:hAnsi="Segoe UI" w:cs="Segoe UI"/>
        </w:rPr>
        <w:t>.</w:t>
      </w:r>
    </w:p>
    <w:p w14:paraId="5A4A6F5D" w14:textId="77777777" w:rsidR="00663D86" w:rsidRDefault="00883F5D">
      <w:pPr>
        <w:pStyle w:val="ListParagraph"/>
        <w:numPr>
          <w:ilvl w:val="0"/>
          <w:numId w:val="18"/>
        </w:numPr>
        <w:spacing w:after="0"/>
        <w:ind w:left="1080"/>
        <w:contextualSpacing w:val="0"/>
        <w:rPr>
          <w:rFonts w:ascii="Segoe UI" w:hAnsi="Segoe UI" w:cs="Segoe UI"/>
        </w:rPr>
      </w:pPr>
      <w:r w:rsidRPr="00663D86">
        <w:rPr>
          <w:rFonts w:ascii="Segoe UI" w:hAnsi="Segoe UI" w:cs="Segoe UI"/>
        </w:rPr>
        <w:t>Describe the statistical bases you use to estimate the credibility of the mortality, morbidity, and persistency experience of this business. The credibility of experience underlying each assumption often varies due to differences in incidence.</w:t>
      </w:r>
    </w:p>
    <w:p w14:paraId="4E9205CF" w14:textId="3F404898" w:rsidR="00406AC6"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Show compliance with </w:t>
      </w:r>
      <w:r w:rsidR="00E51D02">
        <w:rPr>
          <w:rFonts w:ascii="Segoe UI" w:hAnsi="Segoe UI" w:cs="Segoe UI"/>
        </w:rPr>
        <w:t>Actuarial Standard of Practice (</w:t>
      </w:r>
      <w:r w:rsidRPr="00663D86">
        <w:rPr>
          <w:rFonts w:ascii="Segoe UI" w:hAnsi="Segoe UI" w:cs="Segoe UI"/>
        </w:rPr>
        <w:t>ASOP</w:t>
      </w:r>
      <w:r w:rsidR="00E51D02">
        <w:rPr>
          <w:rFonts w:ascii="Segoe UI" w:hAnsi="Segoe UI" w:cs="Segoe UI"/>
        </w:rPr>
        <w:t>)</w:t>
      </w:r>
      <w:r w:rsidRPr="00663D86">
        <w:rPr>
          <w:rFonts w:ascii="Segoe UI" w:hAnsi="Segoe UI" w:cs="Segoe UI"/>
        </w:rPr>
        <w:t xml:space="preserve"> No. 25</w:t>
      </w:r>
      <w:r w:rsidR="0084572A" w:rsidRPr="00663D86">
        <w:rPr>
          <w:rFonts w:ascii="Segoe UI" w:hAnsi="Segoe UI" w:cs="Segoe UI"/>
        </w:rPr>
        <w:t>, “Credibility Procedures,”</w:t>
      </w:r>
      <w:r w:rsidRPr="00663D86">
        <w:rPr>
          <w:rFonts w:ascii="Segoe UI" w:hAnsi="Segoe UI" w:cs="Segoe UI"/>
        </w:rPr>
        <w:t xml:space="preserve"> of the Actuarial Standards Board. The following might be helpful: </w:t>
      </w:r>
      <w:hyperlink r:id="rId11" w:history="1">
        <w:r w:rsidR="00406AC6" w:rsidRPr="00663D86">
          <w:rPr>
            <w:rStyle w:val="Hyperlink"/>
            <w:rFonts w:ascii="Segoe UI" w:hAnsi="Segoe UI" w:cs="Segoe UI"/>
          </w:rPr>
          <w:t>http://actuary.org/files/imce/LTC_Credibility_Monograph_08172016.pdf</w:t>
        </w:r>
      </w:hyperlink>
    </w:p>
    <w:p w14:paraId="34411A65" w14:textId="66B81DA3" w:rsidR="007C504E" w:rsidRDefault="007E7545">
      <w:pPr>
        <w:pStyle w:val="ListParagraph"/>
        <w:numPr>
          <w:ilvl w:val="0"/>
          <w:numId w:val="18"/>
        </w:numPr>
        <w:spacing w:after="0"/>
        <w:ind w:left="1080"/>
        <w:rPr>
          <w:rFonts w:ascii="Segoe UI" w:hAnsi="Segoe UI" w:cs="Segoe UI"/>
        </w:rPr>
      </w:pPr>
      <w:r>
        <w:rPr>
          <w:rFonts w:ascii="Segoe UI" w:hAnsi="Segoe UI" w:cs="Segoe UI"/>
        </w:rPr>
        <w:t>Actuarial Guideline LI (</w:t>
      </w:r>
      <w:r w:rsidR="00406AC6">
        <w:rPr>
          <w:rFonts w:ascii="Segoe UI" w:hAnsi="Segoe UI" w:cs="Segoe UI"/>
        </w:rPr>
        <w:t>AG-51</w:t>
      </w:r>
      <w:r>
        <w:rPr>
          <w:rFonts w:ascii="Segoe UI" w:hAnsi="Segoe UI" w:cs="Segoe UI"/>
        </w:rPr>
        <w:t>)</w:t>
      </w:r>
      <w:r w:rsidR="00406AC6">
        <w:rPr>
          <w:rFonts w:ascii="Segoe UI" w:hAnsi="Segoe UI" w:cs="Segoe UI"/>
        </w:rPr>
        <w:t xml:space="preserve"> requires active life reserves to ignore future rate increases that have not yet been approved. The present value of future Washington premiums plus active life reserves should equal the present value of future claims. Please show </w:t>
      </w:r>
      <w:r w:rsidR="005926BE">
        <w:rPr>
          <w:rFonts w:ascii="Segoe UI" w:hAnsi="Segoe UI" w:cs="Segoe UI"/>
        </w:rPr>
        <w:t>this and</w:t>
      </w:r>
      <w:r w:rsidR="00406AC6">
        <w:rPr>
          <w:rFonts w:ascii="Segoe UI" w:hAnsi="Segoe UI" w:cs="Segoe UI"/>
        </w:rPr>
        <w:t xml:space="preserve"> describe how the proposed rate increase would affect your active life reserves.</w:t>
      </w:r>
    </w:p>
    <w:p w14:paraId="206A3461" w14:textId="424A0786" w:rsidR="00663D86" w:rsidRDefault="00883F5D" w:rsidP="004E11CF">
      <w:pPr>
        <w:pStyle w:val="ListParagraph"/>
        <w:numPr>
          <w:ilvl w:val="0"/>
          <w:numId w:val="18"/>
        </w:numPr>
        <w:ind w:left="1080"/>
        <w:contextualSpacing w:val="0"/>
        <w:rPr>
          <w:rFonts w:ascii="Segoe UI" w:hAnsi="Segoe UI" w:cs="Segoe UI"/>
        </w:rPr>
      </w:pPr>
      <w:r w:rsidRPr="00663D86">
        <w:rPr>
          <w:rFonts w:ascii="Segoe UI" w:hAnsi="Segoe UI" w:cs="Segoe UI"/>
        </w:rPr>
        <w:t>ASOP No. 18</w:t>
      </w:r>
      <w:r w:rsidR="00E51D02">
        <w:rPr>
          <w:rFonts w:ascii="Segoe UI" w:hAnsi="Segoe UI" w:cs="Segoe UI"/>
        </w:rPr>
        <w:t>, “Long-Term Care,”</w:t>
      </w:r>
      <w:r w:rsidRPr="00663D86">
        <w:rPr>
          <w:rFonts w:ascii="Segoe UI" w:hAnsi="Segoe UI" w:cs="Segoe UI"/>
        </w:rPr>
        <w:t xml:space="preserve"> Section 3.</w:t>
      </w:r>
      <w:r w:rsidR="00E51D02">
        <w:rPr>
          <w:rFonts w:ascii="Segoe UI" w:hAnsi="Segoe UI" w:cs="Segoe UI"/>
        </w:rPr>
        <w:t>2</w:t>
      </w:r>
      <w:r w:rsidR="00E51D02" w:rsidRPr="00663D86">
        <w:rPr>
          <w:rFonts w:ascii="Segoe UI" w:hAnsi="Segoe UI" w:cs="Segoe UI"/>
        </w:rPr>
        <w:t xml:space="preserve"> </w:t>
      </w:r>
      <w:r w:rsidRPr="00663D86">
        <w:rPr>
          <w:rFonts w:ascii="Segoe UI" w:hAnsi="Segoe UI" w:cs="Segoe UI"/>
        </w:rPr>
        <w:t>covers sensitivity testing and states</w:t>
      </w:r>
      <w:r w:rsidR="00E51D02">
        <w:rPr>
          <w:rFonts w:ascii="Segoe UI" w:hAnsi="Segoe UI" w:cs="Segoe UI"/>
        </w:rPr>
        <w:t>, “Prior to the finalization of assumptions, the actuary should perform sensitivity testing of reasonable variations in assumptions, and reasonable correlations of assumptions. The actuary should expand the range of sensitivity testing when the data supporting the assumptions have limited credibility. Also, the actuary should consider testing the projections under stressed assumptions. The actuary should consider including appropriate margin or PAD to recognize the results of the sensitivity testing.” (Note: PAD = Provision for Adverse Deviation)</w:t>
      </w:r>
    </w:p>
    <w:p w14:paraId="2DBD96A1" w14:textId="2C9DF02F" w:rsidR="00883F5D"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The memorandum must describe sensitivity testing </w:t>
      </w:r>
      <w:r w:rsidR="00E51D02">
        <w:rPr>
          <w:rFonts w:ascii="Segoe UI" w:hAnsi="Segoe UI" w:cs="Segoe UI"/>
        </w:rPr>
        <w:t xml:space="preserve">assumptions </w:t>
      </w:r>
      <w:r w:rsidRPr="00663D86">
        <w:rPr>
          <w:rFonts w:ascii="Segoe UI" w:hAnsi="Segoe UI" w:cs="Segoe UI"/>
        </w:rPr>
        <w:t xml:space="preserve">and </w:t>
      </w:r>
      <w:r w:rsidR="00E51D02">
        <w:rPr>
          <w:rFonts w:ascii="Segoe UI" w:hAnsi="Segoe UI" w:cs="Segoe UI"/>
        </w:rPr>
        <w:t xml:space="preserve">the </w:t>
      </w:r>
      <w:r w:rsidRPr="00663D86">
        <w:rPr>
          <w:rFonts w:ascii="Segoe UI" w:hAnsi="Segoe UI" w:cs="Segoe UI"/>
        </w:rPr>
        <w:t>results of sensitivity testing. If the certifying actuary determines that no sensitivity testing of one or more assumptions is justified, the memorandum must describe the actuarial basis for that determination.</w:t>
      </w:r>
    </w:p>
    <w:p w14:paraId="4121F166" w14:textId="42140E18" w:rsidR="00883F5D" w:rsidRPr="00773A96" w:rsidRDefault="00864CCA">
      <w:pPr>
        <w:pStyle w:val="ListParagraph"/>
        <w:numPr>
          <w:ilvl w:val="0"/>
          <w:numId w:val="18"/>
        </w:numPr>
        <w:spacing w:after="0"/>
        <w:ind w:left="1080"/>
        <w:rPr>
          <w:rFonts w:ascii="Segoe UI" w:hAnsi="Segoe UI" w:cs="Segoe UI"/>
        </w:rPr>
      </w:pPr>
      <w:r>
        <w:rPr>
          <w:rFonts w:ascii="Segoe UI" w:hAnsi="Segoe UI" w:cs="Segoe UI"/>
        </w:rPr>
        <w:t>In the actuarial memorandum, i</w:t>
      </w:r>
      <w:r w:rsidR="00883F5D" w:rsidRPr="00773A96">
        <w:rPr>
          <w:rFonts w:ascii="Segoe UI" w:hAnsi="Segoe UI" w:cs="Segoe UI"/>
        </w:rPr>
        <w:t>nclude a percentage breakdown of the premium retention loads, including premium tax [RCW 48.14.020 or 48.14.0201], commissions, regulatory surcharge [RC</w:t>
      </w:r>
      <w:r>
        <w:rPr>
          <w:rFonts w:ascii="Segoe UI" w:hAnsi="Segoe UI" w:cs="Segoe UI"/>
        </w:rPr>
        <w:t>W 48.02.190], margin/profit loads that support</w:t>
      </w:r>
      <w:r w:rsidR="00883F5D" w:rsidRPr="00773A96">
        <w:rPr>
          <w:rFonts w:ascii="Segoe UI" w:hAnsi="Segoe UI" w:cs="Segoe UI"/>
        </w:rPr>
        <w:t xml:space="preserve"> the expected loss ratio</w:t>
      </w:r>
      <w:r w:rsidR="00E51D02">
        <w:rPr>
          <w:rFonts w:ascii="Segoe UI" w:hAnsi="Segoe UI" w:cs="Segoe UI"/>
        </w:rPr>
        <w:t>,</w:t>
      </w:r>
      <w:r w:rsidR="00883F5D" w:rsidRPr="00773A96">
        <w:rPr>
          <w:rFonts w:ascii="Segoe UI" w:hAnsi="Segoe UI" w:cs="Segoe UI"/>
        </w:rPr>
        <w:t xml:space="preserve"> and any applicable minimum loss ratio requirements under WAC 284-60 or WAC 284-83. If </w:t>
      </w:r>
      <w:r w:rsidR="00883F5D" w:rsidRPr="00773A96">
        <w:rPr>
          <w:rFonts w:ascii="Segoe UI" w:hAnsi="Segoe UI" w:cs="Segoe UI"/>
        </w:rPr>
        <w:lastRenderedPageBreak/>
        <w:t>applicable, submit an exhibit showing the calculation converting any dollar loads or variable expense loads to an average percent of premium.</w:t>
      </w:r>
    </w:p>
    <w:p w14:paraId="4E36B669" w14:textId="77777777"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For closed blocks of business:</w:t>
      </w:r>
    </w:p>
    <w:p w14:paraId="6C1EF61B" w14:textId="441BD0BB" w:rsidR="00DB5829" w:rsidRDefault="00DB5829">
      <w:pPr>
        <w:pStyle w:val="ListParagraph"/>
        <w:numPr>
          <w:ilvl w:val="0"/>
          <w:numId w:val="14"/>
        </w:numPr>
        <w:spacing w:after="0"/>
        <w:ind w:left="1620"/>
        <w:rPr>
          <w:rFonts w:ascii="Segoe UI" w:hAnsi="Segoe UI" w:cs="Segoe UI"/>
        </w:rPr>
      </w:pPr>
      <w:r>
        <w:rPr>
          <w:rFonts w:ascii="Segoe UI" w:hAnsi="Segoe UI" w:cs="Segoe UI"/>
        </w:rPr>
        <w:t>Clearly state that the block of business is closed to new business.</w:t>
      </w:r>
    </w:p>
    <w:p w14:paraId="2400CA9D" w14:textId="70619F08"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An analysis of the expected loss ratio is sufficient in lieu of expected retention loads.</w:t>
      </w:r>
    </w:p>
    <w:p w14:paraId="4D69B529" w14:textId="77777777" w:rsidR="00883F5D" w:rsidRDefault="00883F5D">
      <w:pPr>
        <w:pStyle w:val="ListParagraph"/>
        <w:numPr>
          <w:ilvl w:val="0"/>
          <w:numId w:val="14"/>
        </w:numPr>
        <w:spacing w:after="0"/>
        <w:ind w:left="1620"/>
        <w:rPr>
          <w:rFonts w:ascii="Segoe UI" w:hAnsi="Segoe UI" w:cs="Segoe UI"/>
        </w:rPr>
      </w:pPr>
      <w:r w:rsidRPr="00773A96">
        <w:rPr>
          <w:rFonts w:ascii="Segoe UI" w:hAnsi="Segoe UI" w:cs="Segoe UI"/>
        </w:rPr>
        <w:t>Our policy has been to enforce a flat percentage increase across the pool.</w:t>
      </w:r>
    </w:p>
    <w:p w14:paraId="39EA4A4C" w14:textId="0C7AF1A0" w:rsidR="00B55CED" w:rsidRPr="00773A96" w:rsidRDefault="00B55CED">
      <w:pPr>
        <w:pStyle w:val="ListParagraph"/>
        <w:numPr>
          <w:ilvl w:val="0"/>
          <w:numId w:val="14"/>
        </w:numPr>
        <w:spacing w:after="0"/>
        <w:ind w:left="1620"/>
        <w:rPr>
          <w:rFonts w:ascii="Segoe UI" w:hAnsi="Segoe UI" w:cs="Segoe UI"/>
        </w:rPr>
      </w:pPr>
      <w:r>
        <w:rPr>
          <w:rFonts w:ascii="Segoe UI" w:hAnsi="Segoe UI" w:cs="Segoe UI"/>
        </w:rPr>
        <w:t>Multiple closed blocks</w:t>
      </w:r>
      <w:r w:rsidR="00EC394D">
        <w:rPr>
          <w:rFonts w:ascii="Segoe UI" w:hAnsi="Segoe UI" w:cs="Segoe UI"/>
        </w:rPr>
        <w:t xml:space="preserve"> with the same TOI</w:t>
      </w:r>
      <w:r>
        <w:rPr>
          <w:rFonts w:ascii="Segoe UI" w:hAnsi="Segoe UI" w:cs="Segoe UI"/>
        </w:rPr>
        <w:t>, including trusts and associations, can be combined into a single pooled block.</w:t>
      </w:r>
    </w:p>
    <w:p w14:paraId="6B57D4B6" w14:textId="56371F81"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 xml:space="preserve">As an alternative to a general rate manual, you may submit a list of all the remaining policies with enough information (such as issue age, premium modalization, benefit duration, elimination period, inflation, benefit choices, etc.), to calculate the current rates. Note: This option may not be </w:t>
      </w:r>
      <w:r>
        <w:rPr>
          <w:rFonts w:ascii="Segoe UI" w:hAnsi="Segoe UI" w:cs="Segoe UI"/>
        </w:rPr>
        <w:t>sufficient by itself</w:t>
      </w:r>
      <w:r w:rsidRPr="00773A96">
        <w:rPr>
          <w:rFonts w:ascii="Segoe UI" w:hAnsi="Segoe UI" w:cs="Segoe UI"/>
        </w:rPr>
        <w:t xml:space="preserve"> if policyholders have the option to reduce or otherwise change benefits</w:t>
      </w:r>
      <w:r>
        <w:rPr>
          <w:rFonts w:ascii="Segoe UI" w:hAnsi="Segoe UI" w:cs="Segoe UI"/>
        </w:rPr>
        <w:t>; in that case, the rate manual will still be required.</w:t>
      </w:r>
    </w:p>
    <w:p w14:paraId="23883CC2" w14:textId="57992F42"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If you are including an additional amount for retaliatory taxes [RCW 48.14.040], submit a</w:t>
      </w:r>
      <w:r w:rsidR="0084572A">
        <w:rPr>
          <w:rFonts w:ascii="Segoe UI" w:hAnsi="Segoe UI" w:cs="Segoe UI"/>
        </w:rPr>
        <w:t>s justification a</w:t>
      </w:r>
      <w:r w:rsidRPr="00773A96">
        <w:rPr>
          <w:rFonts w:ascii="Segoe UI" w:hAnsi="Segoe UI" w:cs="Segoe UI"/>
        </w:rPr>
        <w:t xml:space="preserve"> summary of your most recent tax submission form.</w:t>
      </w:r>
    </w:p>
    <w:p w14:paraId="159ED7AD" w14:textId="202CCD92" w:rsidR="000C0FCD" w:rsidRPr="00773A96" w:rsidRDefault="000C0FCD">
      <w:pPr>
        <w:pStyle w:val="ListParagraph"/>
        <w:numPr>
          <w:ilvl w:val="0"/>
          <w:numId w:val="18"/>
        </w:numPr>
        <w:spacing w:after="0"/>
        <w:ind w:left="1080"/>
        <w:rPr>
          <w:rFonts w:ascii="Segoe UI" w:hAnsi="Segoe UI" w:cs="Segoe UI"/>
        </w:rPr>
      </w:pPr>
      <w:r w:rsidRPr="00773A96">
        <w:rPr>
          <w:rFonts w:ascii="Segoe UI" w:hAnsi="Segoe UI" w:cs="Segoe UI"/>
        </w:rPr>
        <w:t>Include a signed actuarial certification in accordance with WAC 284-58-033 and WAC 284-05, as applicable. The contents should include, but not be limited to, the following:</w:t>
      </w:r>
    </w:p>
    <w:p w14:paraId="09C4B82E" w14:textId="77777777"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Reliance information;</w:t>
      </w:r>
    </w:p>
    <w:p w14:paraId="5ADA7641" w14:textId="24482016"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The applicable ASOPs, including No. 18, Long-Term Care; No. 23, Data Quality; </w:t>
      </w:r>
      <w:r w:rsidR="007E7545">
        <w:rPr>
          <w:rFonts w:ascii="Segoe UI" w:hAnsi="Segoe UI" w:cs="Segoe UI"/>
        </w:rPr>
        <w:t xml:space="preserve">No. 25, Credibility Procedures, </w:t>
      </w:r>
      <w:r w:rsidRPr="00773A96">
        <w:rPr>
          <w:rFonts w:ascii="Segoe UI" w:hAnsi="Segoe UI" w:cs="Segoe UI"/>
        </w:rPr>
        <w:t>and No. 41, Actuarial Communications;</w:t>
      </w:r>
    </w:p>
    <w:p w14:paraId="09F788A3" w14:textId="0498168E"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Identification of the certifying actuary and a statement that </w:t>
      </w:r>
      <w:r w:rsidR="00976B2F">
        <w:rPr>
          <w:rFonts w:ascii="Segoe UI" w:hAnsi="Segoe UI" w:cs="Segoe UI"/>
        </w:rPr>
        <w:t>the actuary</w:t>
      </w:r>
      <w:r w:rsidRPr="00773A96">
        <w:rPr>
          <w:rFonts w:ascii="Segoe UI" w:hAnsi="Segoe UI" w:cs="Segoe UI"/>
        </w:rPr>
        <w:t xml:space="preserve"> is a member of the American Academy of Actuaries; and</w:t>
      </w:r>
    </w:p>
    <w:p w14:paraId="4C26B6B2" w14:textId="451B0C44" w:rsidR="00883F5D" w:rsidRPr="000C0FCD" w:rsidRDefault="000C0FCD">
      <w:pPr>
        <w:pStyle w:val="ListParagraph"/>
        <w:numPr>
          <w:ilvl w:val="0"/>
          <w:numId w:val="15"/>
        </w:numPr>
        <w:spacing w:after="0"/>
        <w:ind w:left="1620"/>
        <w:rPr>
          <w:rFonts w:ascii="Segoe UI" w:hAnsi="Segoe UI" w:cs="Segoe UI"/>
        </w:rPr>
      </w:pPr>
      <w:r w:rsidRPr="00773A96">
        <w:rPr>
          <w:rFonts w:ascii="Segoe UI" w:hAnsi="Segoe UI" w:cs="Segoe UI"/>
        </w:rPr>
        <w:t>The date the actuary signed the certification.</w:t>
      </w:r>
    </w:p>
    <w:p w14:paraId="362FAD7F" w14:textId="77777777" w:rsidR="00883F5D" w:rsidRDefault="00883F5D" w:rsidP="0025545A">
      <w:pPr>
        <w:spacing w:after="0"/>
        <w:rPr>
          <w:rFonts w:ascii="Segoe UI" w:hAnsi="Segoe UI" w:cs="Segoe UI"/>
        </w:rPr>
      </w:pPr>
    </w:p>
    <w:p w14:paraId="238F7DAA" w14:textId="089B2D09" w:rsidR="000C0FCD" w:rsidRPr="006B029A" w:rsidRDefault="000C0FCD" w:rsidP="00084D18">
      <w:pPr>
        <w:pStyle w:val="Heading2"/>
        <w:keepNext/>
        <w:rPr>
          <w:rFonts w:ascii="Segoe UI" w:hAnsi="Segoe UI" w:cs="Segoe UI"/>
          <w:sz w:val="22"/>
          <w:u w:val="single"/>
        </w:rPr>
      </w:pPr>
      <w:bookmarkStart w:id="22" w:name="_Toc159401260"/>
      <w:r w:rsidRPr="006B029A">
        <w:rPr>
          <w:rFonts w:ascii="Segoe UI" w:hAnsi="Segoe UI" w:cs="Segoe UI"/>
          <w:sz w:val="22"/>
          <w:u w:val="single"/>
        </w:rPr>
        <w:t>Actuarial Exhibits</w:t>
      </w:r>
      <w:bookmarkEnd w:id="22"/>
    </w:p>
    <w:p w14:paraId="5E1FA312" w14:textId="26DA5516" w:rsidR="00883F5D" w:rsidRDefault="000C0FCD" w:rsidP="000C0FCD">
      <w:pPr>
        <w:spacing w:after="0"/>
        <w:ind w:left="1080"/>
        <w:rPr>
          <w:rFonts w:ascii="Segoe UI" w:hAnsi="Segoe UI" w:cs="Segoe UI"/>
        </w:rPr>
      </w:pPr>
      <w:r>
        <w:rPr>
          <w:rFonts w:ascii="Segoe UI" w:hAnsi="Segoe UI" w:cs="Segoe UI"/>
        </w:rPr>
        <w:t>Exhibits should be included in an Excel spreadsheet and in a PDF (see section VI</w:t>
      </w:r>
      <w:r w:rsidR="0084572A">
        <w:rPr>
          <w:rFonts w:ascii="Segoe UI" w:hAnsi="Segoe UI" w:cs="Segoe UI"/>
        </w:rPr>
        <w:t>I</w:t>
      </w:r>
      <w:r w:rsidR="00976B2F">
        <w:rPr>
          <w:rFonts w:ascii="Segoe UI" w:hAnsi="Segoe UI" w:cs="Segoe UI"/>
        </w:rPr>
        <w:t>I</w:t>
      </w:r>
      <w:r>
        <w:rPr>
          <w:rFonts w:ascii="Segoe UI" w:hAnsi="Segoe UI" w:cs="Segoe UI"/>
        </w:rPr>
        <w:t xml:space="preserve"> above).</w:t>
      </w:r>
    </w:p>
    <w:p w14:paraId="4A5BD997" w14:textId="315C8CC4" w:rsidR="00570BBE" w:rsidRPr="00773A96" w:rsidRDefault="00570BBE">
      <w:pPr>
        <w:pStyle w:val="ListParagraph"/>
        <w:numPr>
          <w:ilvl w:val="0"/>
          <w:numId w:val="19"/>
        </w:numPr>
        <w:spacing w:after="0"/>
        <w:ind w:left="1080"/>
        <w:rPr>
          <w:rFonts w:ascii="Segoe UI" w:hAnsi="Segoe UI" w:cs="Segoe UI"/>
        </w:rPr>
      </w:pPr>
      <w:r w:rsidRPr="00773A96">
        <w:rPr>
          <w:rFonts w:ascii="Segoe UI" w:hAnsi="Segoe UI" w:cs="Segoe UI"/>
        </w:rPr>
        <w:t>Include the following exhibits, as applicable</w:t>
      </w:r>
      <w:r w:rsidR="004F1727" w:rsidRPr="00773A96">
        <w:rPr>
          <w:rFonts w:ascii="Segoe UI" w:hAnsi="Segoe UI" w:cs="Segoe UI"/>
        </w:rPr>
        <w:t xml:space="preserve"> [see WAC </w:t>
      </w:r>
      <w:r w:rsidR="00976B2F">
        <w:rPr>
          <w:rFonts w:ascii="Segoe UI" w:hAnsi="Segoe UI" w:cs="Segoe UI"/>
        </w:rPr>
        <w:t>sections</w:t>
      </w:r>
      <w:r w:rsidR="001374BB">
        <w:rPr>
          <w:rFonts w:ascii="Segoe UI" w:hAnsi="Segoe UI" w:cs="Segoe UI"/>
        </w:rPr>
        <w:t>,</w:t>
      </w:r>
      <w:r w:rsidR="00976B2F">
        <w:rPr>
          <w:rFonts w:ascii="Segoe UI" w:hAnsi="Segoe UI" w:cs="Segoe UI"/>
        </w:rPr>
        <w:t xml:space="preserve"> such as </w:t>
      </w:r>
      <w:r w:rsidR="004F1727" w:rsidRPr="00773A96">
        <w:rPr>
          <w:rFonts w:ascii="Segoe UI" w:hAnsi="Segoe UI" w:cs="Segoe UI"/>
        </w:rPr>
        <w:t>284-60-050, 284-60-060, 284-54-660, 284-83-090</w:t>
      </w:r>
      <w:r w:rsidR="00BF48FF" w:rsidRPr="00773A96">
        <w:rPr>
          <w:rFonts w:ascii="Segoe UI" w:hAnsi="Segoe UI" w:cs="Segoe UI"/>
        </w:rPr>
        <w:t xml:space="preserve"> and/or 284-83-230</w:t>
      </w:r>
      <w:r w:rsidR="00976B2F">
        <w:rPr>
          <w:rFonts w:ascii="Segoe UI" w:hAnsi="Segoe UI" w:cs="Segoe UI"/>
        </w:rPr>
        <w:t>, as applicable,</w:t>
      </w:r>
      <w:r w:rsidR="004F1727" w:rsidRPr="00773A96">
        <w:rPr>
          <w:rFonts w:ascii="Segoe UI" w:hAnsi="Segoe UI" w:cs="Segoe UI"/>
        </w:rPr>
        <w:t xml:space="preserve"> for more details</w:t>
      </w:r>
      <w:r w:rsidR="00AE4954" w:rsidRPr="00773A96">
        <w:rPr>
          <w:rFonts w:ascii="Segoe UI" w:hAnsi="Segoe UI" w:cs="Segoe UI"/>
        </w:rPr>
        <w:t>]:</w:t>
      </w:r>
    </w:p>
    <w:p w14:paraId="344BE0D7" w14:textId="0F30C029" w:rsidR="00570BBE" w:rsidRDefault="00570BBE">
      <w:pPr>
        <w:pStyle w:val="ListParagraph"/>
        <w:numPr>
          <w:ilvl w:val="0"/>
          <w:numId w:val="13"/>
        </w:numPr>
        <w:spacing w:after="0"/>
        <w:ind w:left="1620"/>
        <w:rPr>
          <w:rFonts w:ascii="Segoe UI" w:hAnsi="Segoe UI" w:cs="Segoe UI"/>
        </w:rPr>
      </w:pPr>
      <w:r w:rsidRPr="00773A96">
        <w:rPr>
          <w:rFonts w:ascii="Segoe UI" w:hAnsi="Segoe UI" w:cs="Segoe UI"/>
        </w:rPr>
        <w:t>T</w:t>
      </w:r>
      <w:r w:rsidR="00F43649" w:rsidRPr="00773A96">
        <w:rPr>
          <w:rFonts w:ascii="Segoe UI" w:hAnsi="Segoe UI" w:cs="Segoe UI"/>
        </w:rPr>
        <w:t xml:space="preserve">he annual </w:t>
      </w:r>
      <w:r w:rsidRPr="00773A96">
        <w:rPr>
          <w:rFonts w:ascii="Segoe UI" w:hAnsi="Segoe UI" w:cs="Segoe UI"/>
        </w:rPr>
        <w:t xml:space="preserve">historical </w:t>
      </w:r>
      <w:r w:rsidR="00F43649" w:rsidRPr="00773A96">
        <w:rPr>
          <w:rFonts w:ascii="Segoe UI" w:hAnsi="Segoe UI" w:cs="Segoe UI"/>
        </w:rPr>
        <w:t>experience (</w:t>
      </w:r>
      <w:r w:rsidR="00976B2F">
        <w:rPr>
          <w:rFonts w:ascii="Segoe UI" w:hAnsi="Segoe UI" w:cs="Segoe UI"/>
        </w:rPr>
        <w:t xml:space="preserve">e.g., </w:t>
      </w:r>
      <w:r w:rsidR="00FC0DEB">
        <w:rPr>
          <w:rFonts w:ascii="Segoe UI" w:hAnsi="Segoe UI" w:cs="Segoe UI"/>
        </w:rPr>
        <w:t>active lives</w:t>
      </w:r>
      <w:r w:rsidR="00F43649" w:rsidRPr="00773A96">
        <w:rPr>
          <w:rFonts w:ascii="Segoe UI" w:hAnsi="Segoe UI" w:cs="Segoe UI"/>
        </w:rPr>
        <w:t xml:space="preserve">, earned premium, incurred claims, </w:t>
      </w:r>
      <w:r w:rsidR="00A905CA" w:rsidRPr="00773A96">
        <w:rPr>
          <w:rFonts w:ascii="Segoe UI" w:hAnsi="Segoe UI" w:cs="Segoe UI"/>
        </w:rPr>
        <w:t>actual and expected loss ratios</w:t>
      </w:r>
      <w:r w:rsidR="00F43649" w:rsidRPr="00773A96">
        <w:rPr>
          <w:rFonts w:ascii="Segoe UI" w:hAnsi="Segoe UI" w:cs="Segoe UI"/>
        </w:rPr>
        <w:t>, etc.) for Washington</w:t>
      </w:r>
      <w:r w:rsidR="00AE4954" w:rsidRPr="00773A96">
        <w:rPr>
          <w:rFonts w:ascii="Segoe UI" w:hAnsi="Segoe UI" w:cs="Segoe UI"/>
        </w:rPr>
        <w:t xml:space="preserve"> State</w:t>
      </w:r>
      <w:r w:rsidRPr="00773A96">
        <w:rPr>
          <w:rFonts w:ascii="Segoe UI" w:hAnsi="Segoe UI" w:cs="Segoe UI"/>
        </w:rPr>
        <w:t>.</w:t>
      </w:r>
    </w:p>
    <w:p w14:paraId="6C596792" w14:textId="20DB8DB3" w:rsidR="00C011E0" w:rsidRPr="00773A96" w:rsidRDefault="00C011E0">
      <w:pPr>
        <w:pStyle w:val="ListParagraph"/>
        <w:numPr>
          <w:ilvl w:val="0"/>
          <w:numId w:val="13"/>
        </w:numPr>
        <w:spacing w:after="0"/>
        <w:ind w:left="1620"/>
        <w:rPr>
          <w:rFonts w:ascii="Segoe UI" w:hAnsi="Segoe UI" w:cs="Segoe UI"/>
        </w:rPr>
      </w:pPr>
      <w:r>
        <w:rPr>
          <w:rFonts w:ascii="Segoe UI" w:hAnsi="Segoe UI" w:cs="Segoe UI"/>
        </w:rPr>
        <w:t xml:space="preserve">The current policyholder distribution by </w:t>
      </w:r>
      <w:r w:rsidR="00413B84">
        <w:rPr>
          <w:rFonts w:ascii="Segoe UI" w:hAnsi="Segoe UI" w:cs="Segoe UI"/>
        </w:rPr>
        <w:t xml:space="preserve">both </w:t>
      </w:r>
      <w:r>
        <w:rPr>
          <w:rFonts w:ascii="Segoe UI" w:hAnsi="Segoe UI" w:cs="Segoe UI"/>
        </w:rPr>
        <w:t>issue age</w:t>
      </w:r>
      <w:r w:rsidR="00413B84">
        <w:rPr>
          <w:rFonts w:ascii="Segoe UI" w:hAnsi="Segoe UI" w:cs="Segoe UI"/>
        </w:rPr>
        <w:t xml:space="preserve"> (or age category)</w:t>
      </w:r>
      <w:r>
        <w:rPr>
          <w:rFonts w:ascii="Segoe UI" w:hAnsi="Segoe UI" w:cs="Segoe UI"/>
        </w:rPr>
        <w:t xml:space="preserve"> and attained age for Washington and nationwide</w:t>
      </w:r>
      <w:r w:rsidR="00D9314C">
        <w:rPr>
          <w:rFonts w:ascii="Segoe UI" w:hAnsi="Segoe UI" w:cs="Segoe UI"/>
        </w:rPr>
        <w:t xml:space="preserve"> members</w:t>
      </w:r>
      <w:r>
        <w:rPr>
          <w:rFonts w:ascii="Segoe UI" w:hAnsi="Segoe UI" w:cs="Segoe UI"/>
        </w:rPr>
        <w:t xml:space="preserve">. Submit </w:t>
      </w:r>
      <w:r w:rsidR="0084572A">
        <w:rPr>
          <w:rFonts w:ascii="Segoe UI" w:hAnsi="Segoe UI" w:cs="Segoe UI"/>
        </w:rPr>
        <w:t>both</w:t>
      </w:r>
      <w:r w:rsidR="00413B84">
        <w:rPr>
          <w:rFonts w:ascii="Segoe UI" w:hAnsi="Segoe UI" w:cs="Segoe UI"/>
        </w:rPr>
        <w:t xml:space="preserve"> policyholder counts and percentage</w:t>
      </w:r>
      <w:r w:rsidR="0084572A">
        <w:rPr>
          <w:rFonts w:ascii="Segoe UI" w:hAnsi="Segoe UI" w:cs="Segoe UI"/>
        </w:rPr>
        <w:t>s</w:t>
      </w:r>
      <w:r w:rsidR="00413B84">
        <w:rPr>
          <w:rFonts w:ascii="Segoe UI" w:hAnsi="Segoe UI" w:cs="Segoe UI"/>
        </w:rPr>
        <w:t xml:space="preserve"> of total</w:t>
      </w:r>
      <w:r w:rsidR="00546487">
        <w:rPr>
          <w:rFonts w:ascii="Segoe UI" w:hAnsi="Segoe UI" w:cs="Segoe UI"/>
        </w:rPr>
        <w:t xml:space="preserve"> for these and any other distribution tables</w:t>
      </w:r>
      <w:r>
        <w:rPr>
          <w:rFonts w:ascii="Segoe UI" w:hAnsi="Segoe UI" w:cs="Segoe UI"/>
        </w:rPr>
        <w:t>.</w:t>
      </w:r>
    </w:p>
    <w:p w14:paraId="603FAD6E" w14:textId="67606194" w:rsidR="00F43649" w:rsidRPr="00773A96" w:rsidRDefault="00570BBE">
      <w:pPr>
        <w:pStyle w:val="ListParagraph"/>
        <w:numPr>
          <w:ilvl w:val="0"/>
          <w:numId w:val="13"/>
        </w:numPr>
        <w:spacing w:after="0"/>
        <w:ind w:left="1620"/>
        <w:rPr>
          <w:rFonts w:ascii="Segoe UI" w:hAnsi="Segoe UI" w:cs="Segoe UI"/>
        </w:rPr>
      </w:pPr>
      <w:r w:rsidRPr="00773A96">
        <w:rPr>
          <w:rFonts w:ascii="Segoe UI" w:hAnsi="Segoe UI" w:cs="Segoe UI"/>
        </w:rPr>
        <w:t xml:space="preserve">If the Washington </w:t>
      </w:r>
      <w:r w:rsidR="00AE4954" w:rsidRPr="00773A96">
        <w:rPr>
          <w:rFonts w:ascii="Segoe UI" w:hAnsi="Segoe UI" w:cs="Segoe UI"/>
        </w:rPr>
        <w:t xml:space="preserve">State </w:t>
      </w:r>
      <w:r w:rsidRPr="00773A96">
        <w:rPr>
          <w:rFonts w:ascii="Segoe UI" w:hAnsi="Segoe UI" w:cs="Segoe UI"/>
        </w:rPr>
        <w:t xml:space="preserve">experience is not 100% credible, </w:t>
      </w:r>
      <w:r w:rsidR="009D041F">
        <w:rPr>
          <w:rFonts w:ascii="Segoe UI" w:hAnsi="Segoe UI" w:cs="Segoe UI"/>
        </w:rPr>
        <w:t xml:space="preserve">also </w:t>
      </w:r>
      <w:r w:rsidRPr="00773A96">
        <w:rPr>
          <w:rFonts w:ascii="Segoe UI" w:hAnsi="Segoe UI" w:cs="Segoe UI"/>
        </w:rPr>
        <w:t xml:space="preserve">show the historical </w:t>
      </w:r>
      <w:r w:rsidR="00F43649" w:rsidRPr="00773A96">
        <w:rPr>
          <w:rFonts w:ascii="Segoe UI" w:hAnsi="Segoe UI" w:cs="Segoe UI"/>
        </w:rPr>
        <w:t>nationwide</w:t>
      </w:r>
      <w:r w:rsidRPr="00773A96">
        <w:rPr>
          <w:rFonts w:ascii="Segoe UI" w:hAnsi="Segoe UI" w:cs="Segoe UI"/>
        </w:rPr>
        <w:t xml:space="preserve"> experience, or other </w:t>
      </w:r>
      <w:r w:rsidR="0004320B" w:rsidRPr="00773A96">
        <w:rPr>
          <w:rFonts w:ascii="Segoe UI" w:hAnsi="Segoe UI" w:cs="Segoe UI"/>
        </w:rPr>
        <w:t xml:space="preserve">experience used in the rate development, and </w:t>
      </w:r>
      <w:r w:rsidR="0084572A">
        <w:rPr>
          <w:rFonts w:ascii="Segoe UI" w:hAnsi="Segoe UI" w:cs="Segoe UI"/>
        </w:rPr>
        <w:t>justify</w:t>
      </w:r>
      <w:r w:rsidR="0004320B" w:rsidRPr="00773A96">
        <w:rPr>
          <w:rFonts w:ascii="Segoe UI" w:hAnsi="Segoe UI" w:cs="Segoe UI"/>
        </w:rPr>
        <w:t xml:space="preserve"> any adjustments made to the data to align the experience with the Washington </w:t>
      </w:r>
      <w:r w:rsidR="00AE4954" w:rsidRPr="00773A96">
        <w:rPr>
          <w:rFonts w:ascii="Segoe UI" w:hAnsi="Segoe UI" w:cs="Segoe UI"/>
        </w:rPr>
        <w:t xml:space="preserve">State </w:t>
      </w:r>
      <w:r w:rsidR="0004320B" w:rsidRPr="00773A96">
        <w:rPr>
          <w:rFonts w:ascii="Segoe UI" w:hAnsi="Segoe UI" w:cs="Segoe UI"/>
        </w:rPr>
        <w:t xml:space="preserve">market. Include credibility analysis </w:t>
      </w:r>
      <w:r w:rsidR="00756559">
        <w:rPr>
          <w:rFonts w:ascii="Segoe UI" w:hAnsi="Segoe UI" w:cs="Segoe UI"/>
        </w:rPr>
        <w:t xml:space="preserve">and calculations </w:t>
      </w:r>
      <w:r w:rsidR="0004320B" w:rsidRPr="00773A96">
        <w:rPr>
          <w:rFonts w:ascii="Segoe UI" w:hAnsi="Segoe UI" w:cs="Segoe UI"/>
        </w:rPr>
        <w:t xml:space="preserve">consistent with </w:t>
      </w:r>
      <w:r w:rsidR="00AE4954" w:rsidRPr="00773A96">
        <w:rPr>
          <w:rFonts w:ascii="Segoe UI" w:hAnsi="Segoe UI" w:cs="Segoe UI"/>
        </w:rPr>
        <w:t>Actuarial Standard of Practice (</w:t>
      </w:r>
      <w:r w:rsidR="0004320B" w:rsidRPr="00773A96">
        <w:rPr>
          <w:rFonts w:ascii="Segoe UI" w:hAnsi="Segoe UI" w:cs="Segoe UI"/>
        </w:rPr>
        <w:t>ASOP</w:t>
      </w:r>
      <w:r w:rsidR="00AE4954" w:rsidRPr="00773A96">
        <w:rPr>
          <w:rFonts w:ascii="Segoe UI" w:hAnsi="Segoe UI" w:cs="Segoe UI"/>
        </w:rPr>
        <w:t>) No.</w:t>
      </w:r>
      <w:r w:rsidR="0004320B" w:rsidRPr="00773A96">
        <w:rPr>
          <w:rFonts w:ascii="Segoe UI" w:hAnsi="Segoe UI" w:cs="Segoe UI"/>
        </w:rPr>
        <w:t xml:space="preserve"> 25</w:t>
      </w:r>
      <w:r w:rsidR="00976B2F">
        <w:rPr>
          <w:rFonts w:ascii="Segoe UI" w:hAnsi="Segoe UI" w:cs="Segoe UI"/>
        </w:rPr>
        <w:t>, “Credibility Procedures”</w:t>
      </w:r>
      <w:r w:rsidR="0004320B" w:rsidRPr="00773A96">
        <w:rPr>
          <w:rFonts w:ascii="Segoe UI" w:hAnsi="Segoe UI" w:cs="Segoe UI"/>
        </w:rPr>
        <w:t>.</w:t>
      </w:r>
    </w:p>
    <w:p w14:paraId="33D9A5EF" w14:textId="3ACBF4A9" w:rsidR="00E12652"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lastRenderedPageBreak/>
        <w:t xml:space="preserve">Lifetime projections of earned premiums and incurred claims based on the filed </w:t>
      </w:r>
      <w:r w:rsidR="00AE4954" w:rsidRPr="00773A96">
        <w:rPr>
          <w:rFonts w:ascii="Segoe UI" w:hAnsi="Segoe UI" w:cs="Segoe UI"/>
        </w:rPr>
        <w:t xml:space="preserve">proposed </w:t>
      </w:r>
      <w:r w:rsidRPr="00773A96">
        <w:rPr>
          <w:rFonts w:ascii="Segoe UI" w:hAnsi="Segoe UI" w:cs="Segoe UI"/>
        </w:rPr>
        <w:t>premium rate schedule.</w:t>
      </w:r>
    </w:p>
    <w:p w14:paraId="36233AFB" w14:textId="07DDED8E" w:rsidR="004F1727"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t>The detailed calculation of the 58/85 Test</w:t>
      </w:r>
      <w:r w:rsidR="00A905CA" w:rsidRPr="00773A96">
        <w:rPr>
          <w:rFonts w:ascii="Segoe UI" w:hAnsi="Segoe UI" w:cs="Segoe UI"/>
        </w:rPr>
        <w:t xml:space="preserve"> [WAC 284-83-090(3)(b)]</w:t>
      </w:r>
      <w:r w:rsidR="00DD3F66">
        <w:rPr>
          <w:rFonts w:ascii="Segoe UI" w:hAnsi="Segoe UI" w:cs="Segoe UI"/>
        </w:rPr>
        <w:t>, adjusted for the original anticipated lifetime loss ratio as appropriate [WAC 284-83-090(7</w:t>
      </w:r>
      <w:r w:rsidR="00DA4A85">
        <w:rPr>
          <w:rFonts w:ascii="Segoe UI" w:hAnsi="Segoe UI" w:cs="Segoe UI"/>
        </w:rPr>
        <w:t>)</w:t>
      </w:r>
      <w:r w:rsidR="00DD3F66">
        <w:rPr>
          <w:rFonts w:ascii="Segoe UI" w:hAnsi="Segoe UI" w:cs="Segoe UI"/>
        </w:rPr>
        <w:t>(b)]</w:t>
      </w:r>
      <w:r w:rsidRPr="00773A96">
        <w:rPr>
          <w:rFonts w:ascii="Segoe UI" w:hAnsi="Segoe UI" w:cs="Segoe UI"/>
        </w:rPr>
        <w:t>.</w:t>
      </w:r>
    </w:p>
    <w:p w14:paraId="5E018BAF" w14:textId="5A47A0BA"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Provide detailed data showing</w:t>
      </w:r>
      <w:r w:rsidR="009D041F">
        <w:rPr>
          <w:rFonts w:ascii="Segoe UI" w:hAnsi="Segoe UI" w:cs="Segoe UI"/>
        </w:rPr>
        <w:t xml:space="preserve"> nationwide</w:t>
      </w:r>
      <w:r w:rsidRPr="00773A96">
        <w:rPr>
          <w:rFonts w:ascii="Segoe UI" w:hAnsi="Segoe UI" w:cs="Segoe UI"/>
        </w:rPr>
        <w:t xml:space="preserve"> past implemented and proposed rate increases by state</w:t>
      </w:r>
      <w:r w:rsidR="002D2A55">
        <w:rPr>
          <w:rFonts w:ascii="Segoe UI" w:hAnsi="Segoe UI" w:cs="Segoe UI"/>
        </w:rPr>
        <w:t xml:space="preserve"> as well as</w:t>
      </w:r>
      <w:r w:rsidR="002D2A55" w:rsidRPr="00773A96">
        <w:rPr>
          <w:rFonts w:ascii="Segoe UI" w:hAnsi="Segoe UI" w:cs="Segoe UI"/>
        </w:rPr>
        <w:t xml:space="preserve"> </w:t>
      </w:r>
      <w:r w:rsidRPr="00773A96">
        <w:rPr>
          <w:rFonts w:ascii="Segoe UI" w:hAnsi="Segoe UI" w:cs="Segoe UI"/>
        </w:rPr>
        <w:t>average premiums</w:t>
      </w:r>
      <w:r w:rsidR="008B7915">
        <w:rPr>
          <w:rFonts w:ascii="Segoe UI" w:hAnsi="Segoe UI" w:cs="Segoe UI"/>
        </w:rPr>
        <w:t xml:space="preserve"> by state</w:t>
      </w:r>
      <w:r w:rsidR="002D2A55">
        <w:rPr>
          <w:rFonts w:ascii="Segoe UI" w:hAnsi="Segoe UI" w:cs="Segoe UI"/>
        </w:rPr>
        <w:t>.</w:t>
      </w:r>
      <w:r w:rsidR="002D2A55" w:rsidRPr="00773A96">
        <w:rPr>
          <w:rFonts w:ascii="Segoe UI" w:hAnsi="Segoe UI" w:cs="Segoe UI"/>
        </w:rPr>
        <w:t xml:space="preserve"> </w:t>
      </w:r>
      <w:r w:rsidR="002D2A55">
        <w:rPr>
          <w:rFonts w:ascii="Segoe UI" w:hAnsi="Segoe UI" w:cs="Segoe UI"/>
        </w:rPr>
        <w:t>E</w:t>
      </w:r>
      <w:r w:rsidRPr="00773A96">
        <w:rPr>
          <w:rFonts w:ascii="Segoe UI" w:hAnsi="Segoe UI" w:cs="Segoe UI"/>
        </w:rPr>
        <w:t xml:space="preserve">xplain any wide variations in average Washington </w:t>
      </w:r>
      <w:r w:rsidR="009D041F">
        <w:rPr>
          <w:rFonts w:ascii="Segoe UI" w:hAnsi="Segoe UI" w:cs="Segoe UI"/>
        </w:rPr>
        <w:t xml:space="preserve">State </w:t>
      </w:r>
      <w:r w:rsidRPr="00773A96">
        <w:rPr>
          <w:rFonts w:ascii="Segoe UI" w:hAnsi="Segoe UI" w:cs="Segoe UI"/>
        </w:rPr>
        <w:t>premium from nationwide</w:t>
      </w:r>
      <w:r w:rsidR="008B7915">
        <w:rPr>
          <w:rFonts w:ascii="Segoe UI" w:hAnsi="Segoe UI" w:cs="Segoe UI"/>
        </w:rPr>
        <w:t xml:space="preserve"> premium</w:t>
      </w:r>
      <w:r w:rsidRPr="00773A96">
        <w:rPr>
          <w:rFonts w:ascii="Segoe UI" w:hAnsi="Segoe UI" w:cs="Segoe UI"/>
        </w:rPr>
        <w:t>.</w:t>
      </w:r>
    </w:p>
    <w:p w14:paraId="23D0F4F4" w14:textId="1B6E17E0"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 xml:space="preserve">The actual-to-expected ratio for discounted spouse policies often </w:t>
      </w:r>
      <w:r w:rsidR="005B4E1B">
        <w:rPr>
          <w:rFonts w:ascii="Segoe UI" w:hAnsi="Segoe UI" w:cs="Segoe UI"/>
        </w:rPr>
        <w:t>differs from</w:t>
      </w:r>
      <w:r w:rsidR="005B4E1B" w:rsidRPr="00773A96">
        <w:rPr>
          <w:rFonts w:ascii="Segoe UI" w:hAnsi="Segoe UI" w:cs="Segoe UI"/>
        </w:rPr>
        <w:t xml:space="preserve"> </w:t>
      </w:r>
      <w:r w:rsidRPr="00773A96">
        <w:rPr>
          <w:rFonts w:ascii="Segoe UI" w:hAnsi="Segoe UI" w:cs="Segoe UI"/>
        </w:rPr>
        <w:t xml:space="preserve">100%. Estimate to what extent this is due to additional male coverage, </w:t>
      </w:r>
      <w:r w:rsidR="00394B58">
        <w:rPr>
          <w:rFonts w:ascii="Segoe UI" w:hAnsi="Segoe UI" w:cs="Segoe UI"/>
        </w:rPr>
        <w:t>for example</w:t>
      </w:r>
      <w:r w:rsidRPr="00773A96">
        <w:rPr>
          <w:rFonts w:ascii="Segoe UI" w:hAnsi="Segoe UI" w:cs="Segoe UI"/>
        </w:rPr>
        <w:t>, as opposed to demonstrable improvement due to living with someone</w:t>
      </w:r>
      <w:r w:rsidR="00394B58">
        <w:rPr>
          <w:rFonts w:ascii="Segoe UI" w:hAnsi="Segoe UI" w:cs="Segoe UI"/>
        </w:rPr>
        <w:t xml:space="preserve"> such as</w:t>
      </w:r>
      <w:r w:rsidRPr="00773A96">
        <w:rPr>
          <w:rFonts w:ascii="Segoe UI" w:hAnsi="Segoe UI" w:cs="Segoe UI"/>
        </w:rPr>
        <w:t xml:space="preserve"> a spouse or </w:t>
      </w:r>
      <w:r w:rsidR="00394B58">
        <w:rPr>
          <w:rFonts w:ascii="Segoe UI" w:hAnsi="Segoe UI" w:cs="Segoe UI"/>
        </w:rPr>
        <w:t xml:space="preserve">other </w:t>
      </w:r>
      <w:r w:rsidRPr="00773A96">
        <w:rPr>
          <w:rFonts w:ascii="Segoe UI" w:hAnsi="Segoe UI" w:cs="Segoe UI"/>
        </w:rPr>
        <w:t>companion.</w:t>
      </w:r>
    </w:p>
    <w:p w14:paraId="525D2A29" w14:textId="45945215" w:rsidR="00302F7D" w:rsidRDefault="009C134B">
      <w:pPr>
        <w:pStyle w:val="ListParagraph"/>
        <w:numPr>
          <w:ilvl w:val="0"/>
          <w:numId w:val="19"/>
        </w:numPr>
        <w:spacing w:after="0"/>
        <w:ind w:left="1080"/>
        <w:rPr>
          <w:rFonts w:ascii="Segoe UI" w:hAnsi="Segoe UI" w:cs="Segoe UI"/>
        </w:rPr>
      </w:pPr>
      <w:r w:rsidRPr="00773A96">
        <w:rPr>
          <w:rFonts w:ascii="Segoe UI" w:hAnsi="Segoe UI" w:cs="Segoe UI"/>
        </w:rPr>
        <w:t>P</w:t>
      </w:r>
      <w:r w:rsidR="005342F5" w:rsidRPr="00773A96">
        <w:rPr>
          <w:rFonts w:ascii="Segoe UI" w:hAnsi="Segoe UI" w:cs="Segoe UI"/>
        </w:rPr>
        <w:t xml:space="preserve">rovide support that the present </w:t>
      </w:r>
      <w:r w:rsidR="00AE4954" w:rsidRPr="00773A96">
        <w:rPr>
          <w:rFonts w:ascii="Segoe UI" w:hAnsi="Segoe UI" w:cs="Segoe UI"/>
        </w:rPr>
        <w:t xml:space="preserve">values </w:t>
      </w:r>
      <w:r w:rsidR="005342F5" w:rsidRPr="00773A96">
        <w:rPr>
          <w:rFonts w:ascii="Segoe UI" w:hAnsi="Segoe UI" w:cs="Segoe UI"/>
        </w:rPr>
        <w:t xml:space="preserve">and accumulated values used </w:t>
      </w:r>
      <w:r w:rsidR="00AE0C33" w:rsidRPr="00773A96">
        <w:rPr>
          <w:rFonts w:ascii="Segoe UI" w:hAnsi="Segoe UI" w:cs="Segoe UI"/>
        </w:rPr>
        <w:t xml:space="preserve">to determine rate increases </w:t>
      </w:r>
      <w:r w:rsidR="00AE4954" w:rsidRPr="00773A96">
        <w:rPr>
          <w:rFonts w:ascii="Segoe UI" w:hAnsi="Segoe UI" w:cs="Segoe UI"/>
        </w:rPr>
        <w:t xml:space="preserve">apply </w:t>
      </w:r>
      <w:r w:rsidR="005342F5" w:rsidRPr="00773A96">
        <w:rPr>
          <w:rFonts w:ascii="Segoe UI" w:hAnsi="Segoe UI" w:cs="Segoe UI"/>
        </w:rPr>
        <w:t>the appropriate interest rate</w:t>
      </w:r>
      <w:r w:rsidR="002C3BE4" w:rsidRPr="00773A96">
        <w:rPr>
          <w:rFonts w:ascii="Segoe UI" w:hAnsi="Segoe UI" w:cs="Segoe UI"/>
        </w:rPr>
        <w:t>s or interest rate</w:t>
      </w:r>
      <w:r w:rsidR="005342F5" w:rsidRPr="00773A96">
        <w:rPr>
          <w:rFonts w:ascii="Segoe UI" w:hAnsi="Segoe UI" w:cs="Segoe UI"/>
        </w:rPr>
        <w:t xml:space="preserve"> averages [WAC 284-83-090(3)(d)]</w:t>
      </w:r>
      <w:r w:rsidR="005B4E1B">
        <w:rPr>
          <w:rFonts w:ascii="Segoe UI" w:hAnsi="Segoe UI" w:cs="Segoe UI"/>
        </w:rPr>
        <w:t xml:space="preserve"> </w:t>
      </w:r>
      <w:r w:rsidR="00976B2F">
        <w:rPr>
          <w:rFonts w:ascii="Segoe UI" w:hAnsi="Segoe UI" w:cs="Segoe UI"/>
        </w:rPr>
        <w:t>(</w:t>
      </w:r>
      <w:r w:rsidR="005B4E1B">
        <w:rPr>
          <w:rFonts w:ascii="Segoe UI" w:hAnsi="Segoe UI" w:cs="Segoe UI"/>
        </w:rPr>
        <w:t>e.g., as compared with the carrier’s net investment yields</w:t>
      </w:r>
      <w:r w:rsidR="00976B2F">
        <w:rPr>
          <w:rFonts w:ascii="Segoe UI" w:hAnsi="Segoe UI" w:cs="Segoe UI"/>
        </w:rPr>
        <w:t>)</w:t>
      </w:r>
      <w:r w:rsidR="005342F5" w:rsidRPr="00773A96">
        <w:rPr>
          <w:rFonts w:ascii="Segoe UI" w:hAnsi="Segoe UI" w:cs="Segoe UI"/>
        </w:rPr>
        <w:t>.</w:t>
      </w:r>
    </w:p>
    <w:p w14:paraId="1B4A5880" w14:textId="77777777" w:rsidR="00B8138E" w:rsidRPr="00B8138E" w:rsidRDefault="00B8138E" w:rsidP="00B8138E">
      <w:pPr>
        <w:spacing w:after="0"/>
        <w:rPr>
          <w:rFonts w:ascii="Segoe UI" w:hAnsi="Segoe UI" w:cs="Segoe UI"/>
        </w:rPr>
      </w:pPr>
    </w:p>
    <w:p w14:paraId="44E20F9B" w14:textId="331BA668" w:rsidR="00302F7D" w:rsidRPr="008F40A2" w:rsidRDefault="00302F7D" w:rsidP="00BB5906">
      <w:pPr>
        <w:pStyle w:val="Heading2"/>
        <w:contextualSpacing/>
        <w:rPr>
          <w:rFonts w:ascii="Segoe UI" w:hAnsi="Segoe UI" w:cs="Segoe UI"/>
        </w:rPr>
      </w:pPr>
      <w:bookmarkStart w:id="23" w:name="_Toc159401261"/>
      <w:r w:rsidRPr="008F40A2">
        <w:rPr>
          <w:rFonts w:ascii="Segoe UI" w:hAnsi="Segoe UI" w:cs="Segoe UI"/>
          <w:sz w:val="22"/>
          <w:szCs w:val="22"/>
          <w:u w:val="single"/>
        </w:rPr>
        <w:t>Other Supporting Documentation</w:t>
      </w:r>
      <w:bookmarkEnd w:id="23"/>
    </w:p>
    <w:p w14:paraId="5D5F9BC5" w14:textId="1F8A74FC" w:rsidR="00302F7D" w:rsidRPr="0063749E" w:rsidRDefault="00302F7D">
      <w:pPr>
        <w:pStyle w:val="ListParagraph"/>
        <w:numPr>
          <w:ilvl w:val="0"/>
          <w:numId w:val="20"/>
        </w:numPr>
        <w:spacing w:after="0"/>
        <w:ind w:left="1080"/>
        <w:rPr>
          <w:rFonts w:ascii="Segoe UI" w:hAnsi="Segoe UI" w:cs="Segoe UI"/>
        </w:rPr>
      </w:pPr>
      <w:r w:rsidRPr="001076DC">
        <w:rPr>
          <w:rFonts w:ascii="Segoe UI" w:hAnsi="Segoe UI" w:cs="Segoe UI"/>
        </w:rPr>
        <w:t xml:space="preserve">Include a </w:t>
      </w:r>
      <w:r w:rsidR="00000BA0">
        <w:rPr>
          <w:rFonts w:ascii="Segoe UI" w:hAnsi="Segoe UI" w:cs="Segoe UI"/>
        </w:rPr>
        <w:t>template</w:t>
      </w:r>
      <w:r w:rsidRPr="001076DC">
        <w:rPr>
          <w:rFonts w:ascii="Segoe UI" w:hAnsi="Segoe UI" w:cs="Segoe UI"/>
        </w:rPr>
        <w:t xml:space="preserve"> of the policyholder </w:t>
      </w:r>
      <w:r w:rsidR="00976B2F">
        <w:rPr>
          <w:rFonts w:ascii="Segoe UI" w:hAnsi="Segoe UI" w:cs="Segoe UI"/>
        </w:rPr>
        <w:t xml:space="preserve">rate change </w:t>
      </w:r>
      <w:r w:rsidRPr="001076DC">
        <w:rPr>
          <w:rFonts w:ascii="Segoe UI" w:hAnsi="Segoe UI" w:cs="Segoe UI"/>
        </w:rPr>
        <w:t xml:space="preserve">notification letter. Do </w:t>
      </w:r>
      <w:r w:rsidRPr="001076DC">
        <w:rPr>
          <w:rFonts w:ascii="Segoe UI" w:hAnsi="Segoe UI" w:cs="Segoe UI"/>
          <w:u w:val="single"/>
        </w:rPr>
        <w:t>NOT</w:t>
      </w:r>
      <w:r w:rsidRPr="001076DC">
        <w:rPr>
          <w:rFonts w:ascii="Segoe UI" w:hAnsi="Segoe UI" w:cs="Segoe UI"/>
        </w:rPr>
        <w:t xml:space="preserve"> include, as part of the notification letter, </w:t>
      </w:r>
      <w:r w:rsidR="00B8138E" w:rsidRPr="001076DC">
        <w:rPr>
          <w:rFonts w:ascii="Segoe UI" w:hAnsi="Segoe UI" w:cs="Segoe UI"/>
        </w:rPr>
        <w:t>a benefit change request form for the policyholder to fill out and return. All forms must be submitted in a separate form filing for approval prior to use [RCW 48.18.100].</w:t>
      </w:r>
    </w:p>
    <w:p w14:paraId="4500BA8B" w14:textId="77777777" w:rsidR="001076DC" w:rsidRPr="001076DC" w:rsidRDefault="001076DC" w:rsidP="001076DC">
      <w:pPr>
        <w:pStyle w:val="ListParagraph"/>
        <w:spacing w:after="0"/>
        <w:ind w:left="1080"/>
        <w:rPr>
          <w:rFonts w:ascii="Segoe UI" w:hAnsi="Segoe UI" w:cs="Segoe UI"/>
        </w:rPr>
      </w:pPr>
    </w:p>
    <w:p w14:paraId="79430000" w14:textId="6EEC45D3" w:rsidR="00463E1A" w:rsidRPr="006B5BEB" w:rsidRDefault="00463E1A" w:rsidP="006B5BEB">
      <w:pPr>
        <w:pStyle w:val="Heading1"/>
        <w:rPr>
          <w:b/>
          <w:sz w:val="22"/>
          <w:szCs w:val="22"/>
        </w:rPr>
      </w:pPr>
      <w:bookmarkStart w:id="24" w:name="_Toc159401262"/>
      <w:r w:rsidRPr="006B5BEB">
        <w:rPr>
          <w:b/>
          <w:sz w:val="22"/>
          <w:szCs w:val="22"/>
        </w:rPr>
        <w:t xml:space="preserve">Is </w:t>
      </w:r>
      <w:r w:rsidR="000920A9" w:rsidRPr="006B5BEB">
        <w:rPr>
          <w:b/>
          <w:sz w:val="22"/>
          <w:szCs w:val="22"/>
        </w:rPr>
        <w:t xml:space="preserve">the </w:t>
      </w:r>
      <w:r w:rsidRPr="006B5BEB">
        <w:rPr>
          <w:b/>
          <w:sz w:val="22"/>
          <w:szCs w:val="22"/>
        </w:rPr>
        <w:t>proprietary filing complete?</w:t>
      </w:r>
      <w:bookmarkEnd w:id="24"/>
    </w:p>
    <w:p w14:paraId="1A63F664" w14:textId="06DD1470" w:rsidR="002F147F" w:rsidRPr="00773A96" w:rsidRDefault="00463E1A">
      <w:pPr>
        <w:pStyle w:val="ListParagraph"/>
        <w:numPr>
          <w:ilvl w:val="0"/>
          <w:numId w:val="16"/>
        </w:numPr>
        <w:spacing w:after="0"/>
        <w:rPr>
          <w:rFonts w:ascii="Segoe UI" w:hAnsi="Segoe UI" w:cs="Segoe UI"/>
        </w:rPr>
      </w:pPr>
      <w:r w:rsidRPr="00773A96">
        <w:rPr>
          <w:rFonts w:ascii="Segoe UI" w:hAnsi="Segoe UI" w:cs="Segoe UI"/>
        </w:rPr>
        <w:t>If you wish to withhold information from public inspection pursuant to RCW 48.02.120(3), you must file separate public and not-</w:t>
      </w:r>
      <w:r w:rsidR="0006354C" w:rsidRPr="00773A96">
        <w:rPr>
          <w:rFonts w:ascii="Segoe UI" w:hAnsi="Segoe UI" w:cs="Segoe UI"/>
        </w:rPr>
        <w:t>for-</w:t>
      </w:r>
      <w:r w:rsidRPr="00773A96">
        <w:rPr>
          <w:rFonts w:ascii="Segoe UI" w:hAnsi="Segoe UI" w:cs="Segoe UI"/>
        </w:rPr>
        <w:t>public</w:t>
      </w:r>
      <w:r w:rsidR="0006354C" w:rsidRPr="00773A96">
        <w:rPr>
          <w:rFonts w:ascii="Segoe UI" w:hAnsi="Segoe UI" w:cs="Segoe UI"/>
        </w:rPr>
        <w:t xml:space="preserve"> (a</w:t>
      </w:r>
      <w:r w:rsidR="007653CB">
        <w:rPr>
          <w:rFonts w:ascii="Segoe UI" w:hAnsi="Segoe UI" w:cs="Segoe UI"/>
        </w:rPr>
        <w:t>.</w:t>
      </w:r>
      <w:r w:rsidR="0006354C" w:rsidRPr="00773A96">
        <w:rPr>
          <w:rFonts w:ascii="Segoe UI" w:hAnsi="Segoe UI" w:cs="Segoe UI"/>
        </w:rPr>
        <w:t>k</w:t>
      </w:r>
      <w:r w:rsidR="007653CB">
        <w:rPr>
          <w:rFonts w:ascii="Segoe UI" w:hAnsi="Segoe UI" w:cs="Segoe UI"/>
        </w:rPr>
        <w:t>.</w:t>
      </w:r>
      <w:r w:rsidR="0006354C" w:rsidRPr="00773A96">
        <w:rPr>
          <w:rFonts w:ascii="Segoe UI" w:hAnsi="Segoe UI" w:cs="Segoe UI"/>
        </w:rPr>
        <w:t>a</w:t>
      </w:r>
      <w:r w:rsidR="007653CB">
        <w:rPr>
          <w:rFonts w:ascii="Segoe UI" w:hAnsi="Segoe UI" w:cs="Segoe UI"/>
        </w:rPr>
        <w:t>.</w:t>
      </w:r>
      <w:r w:rsidR="0006354C" w:rsidRPr="00773A96">
        <w:rPr>
          <w:rFonts w:ascii="Segoe UI" w:hAnsi="Segoe UI" w:cs="Segoe UI"/>
        </w:rPr>
        <w:t xml:space="preserve"> proprietary)</w:t>
      </w:r>
      <w:r w:rsidRPr="00773A96">
        <w:rPr>
          <w:rFonts w:ascii="Segoe UI" w:hAnsi="Segoe UI" w:cs="Segoe UI"/>
        </w:rPr>
        <w:t xml:space="preserve"> filing</w:t>
      </w:r>
      <w:r w:rsidR="0006354C" w:rsidRPr="00773A96">
        <w:rPr>
          <w:rFonts w:ascii="Segoe UI" w:hAnsi="Segoe UI" w:cs="Segoe UI"/>
        </w:rPr>
        <w:t>s</w:t>
      </w:r>
      <w:r w:rsidRPr="00773A96">
        <w:rPr>
          <w:rFonts w:ascii="Segoe UI" w:hAnsi="Segoe UI" w:cs="Segoe UI"/>
        </w:rPr>
        <w:t xml:space="preserve"> as instructed in the Washington State SERFF </w:t>
      </w:r>
      <w:r w:rsidR="0085107F">
        <w:rPr>
          <w:rFonts w:ascii="Segoe UI" w:hAnsi="Segoe UI" w:cs="Segoe UI"/>
        </w:rPr>
        <w:t>Life, Health and Disability Rate Filing General Instructions</w:t>
      </w:r>
      <w:r w:rsidR="00587ADA" w:rsidRPr="00773A96">
        <w:rPr>
          <w:rFonts w:ascii="Segoe UI" w:hAnsi="Segoe UI" w:cs="Segoe UI"/>
        </w:rPr>
        <w:t>.</w:t>
      </w:r>
    </w:p>
    <w:p w14:paraId="2DD69CBB" w14:textId="7CDF7BBF" w:rsidR="000920A9" w:rsidRPr="00773A96" w:rsidRDefault="0006354C">
      <w:pPr>
        <w:pStyle w:val="ListParagraph"/>
        <w:numPr>
          <w:ilvl w:val="0"/>
          <w:numId w:val="16"/>
        </w:numPr>
        <w:spacing w:after="0"/>
        <w:rPr>
          <w:rFonts w:ascii="Segoe UI" w:hAnsi="Segoe UI" w:cs="Segoe UI"/>
        </w:rPr>
      </w:pPr>
      <w:r w:rsidRPr="00773A96">
        <w:rPr>
          <w:rFonts w:ascii="Segoe UI" w:hAnsi="Segoe UI" w:cs="Segoe UI"/>
        </w:rPr>
        <w:t>Include</w:t>
      </w:r>
      <w:r w:rsidR="002F147F" w:rsidRPr="00773A96">
        <w:rPr>
          <w:rFonts w:ascii="Segoe UI" w:hAnsi="Segoe UI" w:cs="Segoe UI"/>
        </w:rPr>
        <w:t xml:space="preserve"> a </w:t>
      </w:r>
      <w:r w:rsidR="00394B58">
        <w:rPr>
          <w:rFonts w:ascii="Segoe UI" w:hAnsi="Segoe UI" w:cs="Segoe UI"/>
        </w:rPr>
        <w:t>standalone</w:t>
      </w:r>
      <w:r w:rsidR="002F147F" w:rsidRPr="00773A96">
        <w:rPr>
          <w:rFonts w:ascii="Segoe UI" w:hAnsi="Segoe UI" w:cs="Segoe UI"/>
        </w:rPr>
        <w:t xml:space="preserve"> document in both the public and proprietary filings, listing all data withheld. </w:t>
      </w:r>
      <w:r w:rsidR="00394B58">
        <w:rPr>
          <w:rFonts w:ascii="Segoe UI" w:hAnsi="Segoe UI" w:cs="Segoe UI"/>
        </w:rPr>
        <w:t>I</w:t>
      </w:r>
      <w:r w:rsidR="002F147F" w:rsidRPr="00773A96">
        <w:rPr>
          <w:rFonts w:ascii="Segoe UI" w:hAnsi="Segoe UI" w:cs="Segoe UI"/>
        </w:rPr>
        <w:t>dentify each piece of information withheld by descripti</w:t>
      </w:r>
      <w:r w:rsidR="00587ADA" w:rsidRPr="00773A96">
        <w:rPr>
          <w:rFonts w:ascii="Segoe UI" w:hAnsi="Segoe UI" w:cs="Segoe UI"/>
        </w:rPr>
        <w:t>on and location in the filing.</w:t>
      </w:r>
    </w:p>
    <w:p w14:paraId="59AAE08E" w14:textId="510769AE" w:rsidR="000920A9" w:rsidRPr="00773A96" w:rsidRDefault="002F147F">
      <w:pPr>
        <w:pStyle w:val="ListParagraph"/>
        <w:numPr>
          <w:ilvl w:val="0"/>
          <w:numId w:val="16"/>
        </w:numPr>
        <w:spacing w:after="0"/>
        <w:rPr>
          <w:rFonts w:ascii="Segoe UI" w:hAnsi="Segoe UI" w:cs="Segoe UI"/>
        </w:rPr>
      </w:pPr>
      <w:r w:rsidRPr="00773A96">
        <w:rPr>
          <w:rFonts w:ascii="Segoe UI" w:hAnsi="Segoe UI" w:cs="Segoe UI"/>
        </w:rPr>
        <w:t>If one single page includes both public information and proprietary information, only the proprietary information in the</w:t>
      </w:r>
      <w:r w:rsidR="00874C59">
        <w:rPr>
          <w:rFonts w:ascii="Segoe UI" w:hAnsi="Segoe UI" w:cs="Segoe UI"/>
        </w:rPr>
        <w:t xml:space="preserve"> applicable</w:t>
      </w:r>
      <w:r w:rsidR="00587ADA" w:rsidRPr="00773A96">
        <w:rPr>
          <w:rFonts w:ascii="Segoe UI" w:hAnsi="Segoe UI" w:cs="Segoe UI"/>
        </w:rPr>
        <w:t xml:space="preserve"> page can be redacted.</w:t>
      </w:r>
    </w:p>
    <w:p w14:paraId="07F00D82" w14:textId="63AF2716" w:rsidR="00463E1A" w:rsidRPr="00773A96" w:rsidRDefault="002F147F">
      <w:pPr>
        <w:pStyle w:val="ListParagraph"/>
        <w:numPr>
          <w:ilvl w:val="0"/>
          <w:numId w:val="16"/>
        </w:numPr>
        <w:spacing w:after="0"/>
        <w:rPr>
          <w:rFonts w:ascii="Segoe UI" w:hAnsi="Segoe UI" w:cs="Segoe UI"/>
        </w:rPr>
      </w:pPr>
      <w:r w:rsidRPr="00773A96">
        <w:rPr>
          <w:rFonts w:ascii="Segoe UI" w:hAnsi="Segoe UI" w:cs="Segoe UI"/>
        </w:rPr>
        <w:t xml:space="preserve">Cite the statutory exemption under which </w:t>
      </w:r>
      <w:r w:rsidR="0006354C" w:rsidRPr="00773A96">
        <w:rPr>
          <w:rFonts w:ascii="Segoe UI" w:hAnsi="Segoe UI" w:cs="Segoe UI"/>
        </w:rPr>
        <w:t xml:space="preserve">you </w:t>
      </w:r>
      <w:r w:rsidRPr="00773A96">
        <w:rPr>
          <w:rFonts w:ascii="Segoe UI" w:hAnsi="Segoe UI" w:cs="Segoe UI"/>
        </w:rPr>
        <w:t xml:space="preserve">are seeking an exemption and explain how that exemption applies to </w:t>
      </w:r>
      <w:r w:rsidR="000920A9" w:rsidRPr="00773A96">
        <w:rPr>
          <w:rFonts w:ascii="Segoe UI" w:hAnsi="Segoe UI" w:cs="Segoe UI"/>
        </w:rPr>
        <w:t>each</w:t>
      </w:r>
      <w:r w:rsidRPr="00773A96">
        <w:rPr>
          <w:rFonts w:ascii="Segoe UI" w:hAnsi="Segoe UI" w:cs="Segoe UI"/>
        </w:rPr>
        <w:t xml:space="preserve"> piece of information.</w:t>
      </w:r>
    </w:p>
    <w:p w14:paraId="7C2963AA" w14:textId="77777777" w:rsidR="004D3B3A" w:rsidRPr="00773A96" w:rsidRDefault="004D3B3A" w:rsidP="007A7E08">
      <w:pPr>
        <w:pStyle w:val="ListParagraph"/>
        <w:spacing w:after="0"/>
        <w:rPr>
          <w:rFonts w:ascii="Segoe UI" w:hAnsi="Segoe UI" w:cs="Segoe UI"/>
        </w:rPr>
      </w:pPr>
    </w:p>
    <w:p w14:paraId="6D0666F7" w14:textId="77777777" w:rsidR="0035610A" w:rsidRPr="005134E1" w:rsidRDefault="0035610A" w:rsidP="005134E1">
      <w:pPr>
        <w:pStyle w:val="Heading1"/>
        <w:rPr>
          <w:b/>
          <w:sz w:val="22"/>
          <w:szCs w:val="22"/>
        </w:rPr>
      </w:pPr>
      <w:bookmarkStart w:id="25" w:name="_Toc159401263"/>
      <w:r w:rsidRPr="005134E1">
        <w:rPr>
          <w:b/>
          <w:sz w:val="22"/>
          <w:szCs w:val="22"/>
        </w:rPr>
        <w:t>Are you responding to a SERFF Objection Letter?</w:t>
      </w:r>
      <w:bookmarkEnd w:id="25"/>
    </w:p>
    <w:p w14:paraId="7D84CAB0" w14:textId="2DD41303" w:rsidR="0065347E" w:rsidRDefault="0065347E">
      <w:pPr>
        <w:pStyle w:val="ListParagraph"/>
        <w:numPr>
          <w:ilvl w:val="0"/>
          <w:numId w:val="17"/>
        </w:numPr>
        <w:spacing w:after="0"/>
        <w:rPr>
          <w:rFonts w:ascii="Segoe UI" w:hAnsi="Segoe UI" w:cs="Segoe UI"/>
        </w:rPr>
      </w:pPr>
      <w:r>
        <w:rPr>
          <w:rFonts w:ascii="Segoe UI" w:hAnsi="Segoe UI" w:cs="Segoe UI"/>
        </w:rPr>
        <w:t xml:space="preserve">Responses and attachments should </w:t>
      </w:r>
      <w:r w:rsidRPr="0065347E">
        <w:rPr>
          <w:rFonts w:ascii="Segoe UI" w:hAnsi="Segoe UI" w:cs="Segoe UI"/>
          <w:i/>
          <w:u w:val="single"/>
        </w:rPr>
        <w:t>never</w:t>
      </w:r>
      <w:r w:rsidR="00DA4A85">
        <w:rPr>
          <w:rFonts w:ascii="Segoe UI" w:hAnsi="Segoe UI" w:cs="Segoe UI"/>
        </w:rPr>
        <w:t xml:space="preserve"> be sent as a Note to </w:t>
      </w:r>
      <w:r>
        <w:rPr>
          <w:rFonts w:ascii="Segoe UI" w:hAnsi="Segoe UI" w:cs="Segoe UI"/>
        </w:rPr>
        <w:t>Reviewer in SERFF.</w:t>
      </w:r>
    </w:p>
    <w:p w14:paraId="29A91216" w14:textId="5303EC6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Unless instructed otherwise, all </w:t>
      </w:r>
      <w:r w:rsidR="00850934">
        <w:rPr>
          <w:rFonts w:ascii="Segoe UI" w:hAnsi="Segoe UI" w:cs="Segoe UI"/>
        </w:rPr>
        <w:t>r</w:t>
      </w:r>
      <w:r w:rsidR="00874C59">
        <w:rPr>
          <w:rFonts w:ascii="Segoe UI" w:hAnsi="Segoe UI" w:cs="Segoe UI"/>
        </w:rPr>
        <w:t>esponse attachments</w:t>
      </w:r>
      <w:r w:rsidRPr="00773A96">
        <w:rPr>
          <w:rFonts w:ascii="Segoe UI" w:hAnsi="Segoe UI" w:cs="Segoe UI"/>
        </w:rPr>
        <w:t xml:space="preserve"> must be in PDF format.</w:t>
      </w:r>
    </w:p>
    <w:p w14:paraId="56278F50" w14:textId="4C1EF43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Respond </w:t>
      </w:r>
      <w:r w:rsidR="00AA7B59">
        <w:rPr>
          <w:rFonts w:ascii="Segoe UI" w:hAnsi="Segoe UI" w:cs="Segoe UI"/>
        </w:rPr>
        <w:t xml:space="preserve">to each objection </w:t>
      </w:r>
      <w:r w:rsidRPr="00773A96">
        <w:rPr>
          <w:rFonts w:ascii="Segoe UI" w:hAnsi="Segoe UI" w:cs="Segoe UI"/>
        </w:rPr>
        <w:t>completely and in a timely manner [WAC 284-58-047].</w:t>
      </w:r>
    </w:p>
    <w:p w14:paraId="46B1C82E" w14:textId="2948E496"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Amend </w:t>
      </w:r>
      <w:r w:rsidR="0006354C" w:rsidRPr="00773A96">
        <w:rPr>
          <w:rFonts w:ascii="Segoe UI" w:hAnsi="Segoe UI" w:cs="Segoe UI"/>
        </w:rPr>
        <w:t xml:space="preserve">the filing </w:t>
      </w:r>
      <w:r w:rsidRPr="00773A96">
        <w:rPr>
          <w:rFonts w:ascii="Segoe UI" w:hAnsi="Segoe UI" w:cs="Segoe UI"/>
        </w:rPr>
        <w:t>to respond to an objection. You must answer each objection individually</w:t>
      </w:r>
      <w:r w:rsidR="0006354C" w:rsidRPr="00773A96">
        <w:rPr>
          <w:rFonts w:ascii="Segoe UI" w:hAnsi="Segoe UI" w:cs="Segoe UI"/>
        </w:rPr>
        <w:t xml:space="preserve">. As appropriate depending on the objection, also separately file </w:t>
      </w:r>
      <w:r w:rsidRPr="00773A96">
        <w:rPr>
          <w:rFonts w:ascii="Segoe UI" w:hAnsi="Segoe UI" w:cs="Segoe UI"/>
        </w:rPr>
        <w:t>the appropriate revised form.</w:t>
      </w:r>
    </w:p>
    <w:p w14:paraId="2D595791" w14:textId="7777777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lastRenderedPageBreak/>
        <w:t>Revise a Schedule Item to make changes to a document already submitted.</w:t>
      </w:r>
    </w:p>
    <w:p w14:paraId="54E8A22F" w14:textId="56E2085D" w:rsidR="004D3B3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Add a Schedule Item </w:t>
      </w:r>
      <w:r w:rsidR="0006354C" w:rsidRPr="00773A96">
        <w:rPr>
          <w:rFonts w:ascii="Segoe UI" w:hAnsi="Segoe UI" w:cs="Segoe UI"/>
        </w:rPr>
        <w:t>for</w:t>
      </w:r>
      <w:r w:rsidRPr="00773A96">
        <w:rPr>
          <w:rFonts w:ascii="Segoe UI" w:hAnsi="Segoe UI" w:cs="Segoe UI"/>
        </w:rPr>
        <w:t xml:space="preserve"> additional documents not previously submitted.</w:t>
      </w:r>
    </w:p>
    <w:p w14:paraId="1E4F5FB7" w14:textId="77777777" w:rsidR="00587ADA" w:rsidRPr="00773A96" w:rsidRDefault="00587ADA" w:rsidP="007A7E08">
      <w:pPr>
        <w:spacing w:after="0"/>
        <w:rPr>
          <w:rFonts w:ascii="Segoe UI" w:hAnsi="Segoe UI" w:cs="Segoe UI"/>
        </w:rPr>
      </w:pPr>
    </w:p>
    <w:sectPr w:rsidR="00587ADA" w:rsidRPr="00773A96" w:rsidSect="004D465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708D" w14:textId="77777777" w:rsidR="00FF6AF3" w:rsidRDefault="00FF6AF3" w:rsidP="00BD61B3">
      <w:pPr>
        <w:spacing w:after="0" w:line="240" w:lineRule="auto"/>
      </w:pPr>
      <w:r>
        <w:separator/>
      </w:r>
    </w:p>
  </w:endnote>
  <w:endnote w:type="continuationSeparator" w:id="0">
    <w:p w14:paraId="1ADA6A33" w14:textId="77777777" w:rsidR="00FF6AF3" w:rsidRDefault="00FF6AF3" w:rsidP="00BD61B3">
      <w:pPr>
        <w:spacing w:after="0" w:line="240" w:lineRule="auto"/>
      </w:pPr>
      <w:r>
        <w:continuationSeparator/>
      </w:r>
    </w:p>
  </w:endnote>
  <w:endnote w:type="continuationNotice" w:id="1">
    <w:p w14:paraId="6CC14392" w14:textId="77777777" w:rsidR="00C00EE5" w:rsidRDefault="00C0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F548" w14:textId="77777777" w:rsidR="002A6AB0" w:rsidRDefault="002A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C9A4" w14:textId="7868A554" w:rsidR="005F239C" w:rsidRPr="002F290F" w:rsidRDefault="005F239C" w:rsidP="00961351">
    <w:pPr>
      <w:pStyle w:val="Footer"/>
      <w:rPr>
        <w:bCs/>
        <w:sz w:val="24"/>
        <w:szCs w:val="24"/>
      </w:rPr>
    </w:pPr>
    <w:r w:rsidRPr="00961351">
      <w:rPr>
        <w:bCs/>
        <w:sz w:val="24"/>
        <w:szCs w:val="24"/>
      </w:rPr>
      <w:t>ST</w:t>
    </w:r>
    <w:r>
      <w:rPr>
        <w:bCs/>
        <w:sz w:val="24"/>
        <w:szCs w:val="24"/>
      </w:rPr>
      <w:t>M</w:t>
    </w:r>
    <w:r w:rsidRPr="00961351">
      <w:rPr>
        <w:bCs/>
        <w:sz w:val="24"/>
        <w:szCs w:val="24"/>
      </w:rPr>
      <w:t>-Rates-LTC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10</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w:t>
    </w:r>
    <w:r w:rsidR="00434BD4">
      <w:rPr>
        <w:bCs/>
        <w:sz w:val="24"/>
        <w:szCs w:val="24"/>
      </w:rPr>
      <w:t>4</w:t>
    </w:r>
    <w:r w:rsidR="00081592" w:rsidRPr="00081592">
      <w:rPr>
        <w:bCs/>
        <w:sz w:val="24"/>
        <w:szCs w:val="24"/>
      </w:rPr>
      <w:t>/</w:t>
    </w:r>
    <w:r w:rsidR="00434BD4">
      <w:rPr>
        <w:bCs/>
        <w:sz w:val="24"/>
        <w:szCs w:val="24"/>
      </w:rPr>
      <w:t>07</w:t>
    </w:r>
    <w:r w:rsidR="00081592" w:rsidRPr="00081592">
      <w:rPr>
        <w:bCs/>
        <w:sz w:val="24"/>
        <w:szCs w:val="24"/>
      </w:rPr>
      <w:t>/</w:t>
    </w:r>
    <w:r w:rsidR="00E23BC8" w:rsidRPr="00081592">
      <w:rPr>
        <w:bCs/>
        <w:sz w:val="24"/>
        <w:szCs w:val="24"/>
      </w:rPr>
      <w:t>202</w:t>
    </w:r>
    <w:r w:rsidR="00E23BC8">
      <w:rPr>
        <w:bCs/>
        <w:sz w:val="24"/>
        <w:szCs w:val="24"/>
      </w:rPr>
      <w:t>5</w:t>
    </w:r>
    <w:r w:rsidR="00E23BC8" w:rsidRPr="00961351">
      <w:rPr>
        <w:rFonts w:ascii="Segoe UI" w:hAnsi="Segoe UI" w:cs="Segoe U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4E2E" w14:textId="3DE32002" w:rsidR="005F239C" w:rsidRPr="00081592" w:rsidRDefault="005F239C">
    <w:pPr>
      <w:pStyle w:val="Footer"/>
      <w:rPr>
        <w:rFonts w:ascii="Segoe UI" w:hAnsi="Segoe UI" w:cs="Segoe UI"/>
        <w:b/>
        <w:sz w:val="18"/>
        <w:szCs w:val="18"/>
      </w:rPr>
    </w:pPr>
    <w:r w:rsidRPr="00961351">
      <w:rPr>
        <w:bCs/>
        <w:sz w:val="24"/>
        <w:szCs w:val="24"/>
      </w:rPr>
      <w:t>S</w:t>
    </w:r>
    <w:r>
      <w:rPr>
        <w:bCs/>
        <w:sz w:val="24"/>
        <w:szCs w:val="24"/>
      </w:rPr>
      <w:t>T</w:t>
    </w:r>
    <w:r w:rsidRPr="00961351">
      <w:rPr>
        <w:bCs/>
        <w:sz w:val="24"/>
        <w:szCs w:val="24"/>
      </w:rPr>
      <w:t>M-Rates-LTC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w:t>
    </w:r>
    <w:r w:rsidR="00434BD4">
      <w:rPr>
        <w:bCs/>
        <w:sz w:val="24"/>
        <w:szCs w:val="24"/>
      </w:rPr>
      <w:t>4</w:t>
    </w:r>
    <w:r w:rsidR="00081592" w:rsidRPr="00081592">
      <w:rPr>
        <w:bCs/>
        <w:sz w:val="24"/>
        <w:szCs w:val="24"/>
      </w:rPr>
      <w:t>/</w:t>
    </w:r>
    <w:r w:rsidR="00434BD4">
      <w:rPr>
        <w:bCs/>
        <w:sz w:val="24"/>
        <w:szCs w:val="24"/>
      </w:rPr>
      <w:t>07</w:t>
    </w:r>
    <w:r w:rsidR="00081592" w:rsidRPr="00081592">
      <w:rPr>
        <w:bCs/>
        <w:sz w:val="24"/>
        <w:szCs w:val="24"/>
      </w:rPr>
      <w:t>/</w:t>
    </w:r>
    <w:r w:rsidR="00E23BC8" w:rsidRPr="00081592">
      <w:rPr>
        <w:bCs/>
        <w:sz w:val="24"/>
        <w:szCs w:val="24"/>
      </w:rPr>
      <w:t>202</w:t>
    </w:r>
    <w:r w:rsidR="00E23BC8">
      <w:rPr>
        <w:bCs/>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8BFF" w14:textId="77777777" w:rsidR="00FF6AF3" w:rsidRDefault="00FF6AF3" w:rsidP="00BD61B3">
      <w:pPr>
        <w:spacing w:after="0" w:line="240" w:lineRule="auto"/>
      </w:pPr>
      <w:r>
        <w:separator/>
      </w:r>
    </w:p>
  </w:footnote>
  <w:footnote w:type="continuationSeparator" w:id="0">
    <w:p w14:paraId="6AC94E79" w14:textId="77777777" w:rsidR="00FF6AF3" w:rsidRDefault="00FF6AF3" w:rsidP="00BD61B3">
      <w:pPr>
        <w:spacing w:after="0" w:line="240" w:lineRule="auto"/>
      </w:pPr>
      <w:r>
        <w:continuationSeparator/>
      </w:r>
    </w:p>
  </w:footnote>
  <w:footnote w:type="continuationNotice" w:id="1">
    <w:p w14:paraId="4C1A67B2" w14:textId="77777777" w:rsidR="00C00EE5" w:rsidRDefault="00C0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108B" w14:textId="77777777" w:rsidR="002A6AB0" w:rsidRDefault="002A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789528EA" w:rsidR="005F239C" w:rsidRDefault="005F239C" w:rsidP="00961351">
    <w:pPr>
      <w:pStyle w:val="Header"/>
      <w:jc w:val="center"/>
    </w:pPr>
    <w:r>
      <w:rPr>
        <w:noProof/>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152C" w14:textId="2A689F7D" w:rsidR="005F239C" w:rsidRDefault="005F239C">
    <w:pPr>
      <w:pStyle w:val="Header"/>
    </w:pPr>
    <w:r>
      <w:rPr>
        <w:noProof/>
      </w:rPr>
      <w:drawing>
        <wp:inline distT="0" distB="0" distL="0" distR="0" wp14:anchorId="355347C1" wp14:editId="4C700DFA">
          <wp:extent cx="5943600" cy="575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B6C"/>
    <w:multiLevelType w:val="hybridMultilevel"/>
    <w:tmpl w:val="464C4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C34CF"/>
    <w:multiLevelType w:val="hybridMultilevel"/>
    <w:tmpl w:val="12440F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40F77"/>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5192F"/>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1D253A7E"/>
    <w:multiLevelType w:val="hybridMultilevel"/>
    <w:tmpl w:val="AE3A68AA"/>
    <w:lvl w:ilvl="0" w:tplc="C5BC63C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EA3149A"/>
    <w:multiLevelType w:val="hybridMultilevel"/>
    <w:tmpl w:val="05CE1D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F1E78FB"/>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6E6E40"/>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1E44B4"/>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87E31B7"/>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C36CE5"/>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B304A1"/>
    <w:multiLevelType w:val="hybridMultilevel"/>
    <w:tmpl w:val="991425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E2DC8"/>
    <w:multiLevelType w:val="hybridMultilevel"/>
    <w:tmpl w:val="01D0E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801C82"/>
    <w:multiLevelType w:val="hybridMultilevel"/>
    <w:tmpl w:val="B308AC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98B5955"/>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223E"/>
    <w:multiLevelType w:val="multilevel"/>
    <w:tmpl w:val="012079AE"/>
    <w:lvl w:ilvl="0">
      <w:start w:val="1"/>
      <w:numFmt w:val="upperRoman"/>
      <w:pStyle w:val="Heading1"/>
      <w:lvlText w:val="%1."/>
      <w:lvlJc w:val="left"/>
      <w:pPr>
        <w:tabs>
          <w:tab w:val="num" w:pos="720"/>
        </w:tabs>
        <w:ind w:left="504" w:hanging="504"/>
      </w:pPr>
      <w:rPr>
        <w:rFonts w:hint="default"/>
        <w:sz w:val="22"/>
        <w:szCs w:val="22"/>
      </w:rPr>
    </w:lvl>
    <w:lvl w:ilvl="1">
      <w:start w:val="1"/>
      <w:numFmt w:val="upperLetter"/>
      <w:pStyle w:val="Heading2"/>
      <w:lvlText w:val="%2."/>
      <w:lvlJc w:val="left"/>
      <w:pPr>
        <w:tabs>
          <w:tab w:val="num" w:pos="1296"/>
        </w:tabs>
        <w:ind w:left="1080" w:hanging="504"/>
      </w:pPr>
      <w:rPr>
        <w:rFonts w:ascii="Segoe UI" w:hAnsi="Segoe UI" w:cs="Segoe UI" w:hint="default"/>
        <w:sz w:val="22"/>
      </w:rPr>
    </w:lvl>
    <w:lvl w:ilvl="2">
      <w:start w:val="1"/>
      <w:numFmt w:val="lowerLetter"/>
      <w:pStyle w:val="Heading3"/>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17" w15:restartNumberingAfterBreak="0">
    <w:nsid w:val="4B9D7C89"/>
    <w:multiLevelType w:val="hybridMultilevel"/>
    <w:tmpl w:val="12440F3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FD26138"/>
    <w:multiLevelType w:val="hybridMultilevel"/>
    <w:tmpl w:val="E714691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292543"/>
    <w:multiLevelType w:val="hybridMultilevel"/>
    <w:tmpl w:val="7B3ABF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F821B9"/>
    <w:multiLevelType w:val="hybridMultilevel"/>
    <w:tmpl w:val="D44AB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22763"/>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1B53396"/>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FB31A7"/>
    <w:multiLevelType w:val="hybridMultilevel"/>
    <w:tmpl w:val="0B02A9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F0031"/>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731070E1"/>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01019F"/>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75DF318E"/>
    <w:multiLevelType w:val="hybridMultilevel"/>
    <w:tmpl w:val="1410E666"/>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2E00E7"/>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79A91962"/>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7B287313"/>
    <w:multiLevelType w:val="hybridMultilevel"/>
    <w:tmpl w:val="F2A074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308BC"/>
    <w:multiLevelType w:val="hybridMultilevel"/>
    <w:tmpl w:val="9170E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5288181">
    <w:abstractNumId w:val="16"/>
  </w:num>
  <w:num w:numId="2" w16cid:durableId="859273637">
    <w:abstractNumId w:val="15"/>
  </w:num>
  <w:num w:numId="3" w16cid:durableId="1258443118">
    <w:abstractNumId w:val="30"/>
  </w:num>
  <w:num w:numId="4" w16cid:durableId="2065833002">
    <w:abstractNumId w:val="1"/>
  </w:num>
  <w:num w:numId="5" w16cid:durableId="2119520778">
    <w:abstractNumId w:val="5"/>
  </w:num>
  <w:num w:numId="6" w16cid:durableId="1987077826">
    <w:abstractNumId w:val="23"/>
  </w:num>
  <w:num w:numId="7" w16cid:durableId="1703825058">
    <w:abstractNumId w:val="11"/>
  </w:num>
  <w:num w:numId="8" w16cid:durableId="580337469">
    <w:abstractNumId w:val="0"/>
  </w:num>
  <w:num w:numId="9" w16cid:durableId="1364675045">
    <w:abstractNumId w:val="12"/>
  </w:num>
  <w:num w:numId="10" w16cid:durableId="1876235352">
    <w:abstractNumId w:val="10"/>
  </w:num>
  <w:num w:numId="11" w16cid:durableId="743993298">
    <w:abstractNumId w:val="25"/>
  </w:num>
  <w:num w:numId="12" w16cid:durableId="1586761105">
    <w:abstractNumId w:val="27"/>
  </w:num>
  <w:num w:numId="13" w16cid:durableId="872184239">
    <w:abstractNumId w:val="6"/>
  </w:num>
  <w:num w:numId="14" w16cid:durableId="1456289115">
    <w:abstractNumId w:val="21"/>
  </w:num>
  <w:num w:numId="15" w16cid:durableId="1992753200">
    <w:abstractNumId w:val="9"/>
  </w:num>
  <w:num w:numId="16" w16cid:durableId="1314868758">
    <w:abstractNumId w:val="20"/>
  </w:num>
  <w:num w:numId="17" w16cid:durableId="1773089661">
    <w:abstractNumId w:val="31"/>
  </w:num>
  <w:num w:numId="18" w16cid:durableId="418215130">
    <w:abstractNumId w:val="22"/>
  </w:num>
  <w:num w:numId="19" w16cid:durableId="176357645">
    <w:abstractNumId w:val="7"/>
  </w:num>
  <w:num w:numId="20" w16cid:durableId="431632219">
    <w:abstractNumId w:val="2"/>
  </w:num>
  <w:num w:numId="21" w16cid:durableId="2010669785">
    <w:abstractNumId w:val="4"/>
  </w:num>
  <w:num w:numId="22" w16cid:durableId="1467624896">
    <w:abstractNumId w:val="19"/>
  </w:num>
  <w:num w:numId="23" w16cid:durableId="1711757684">
    <w:abstractNumId w:val="17"/>
  </w:num>
  <w:num w:numId="24" w16cid:durableId="1853831879">
    <w:abstractNumId w:val="13"/>
  </w:num>
  <w:num w:numId="25" w16cid:durableId="30955450">
    <w:abstractNumId w:val="29"/>
  </w:num>
  <w:num w:numId="26" w16cid:durableId="187646692">
    <w:abstractNumId w:val="24"/>
  </w:num>
  <w:num w:numId="27" w16cid:durableId="1270316356">
    <w:abstractNumId w:val="3"/>
  </w:num>
  <w:num w:numId="28" w16cid:durableId="1083382038">
    <w:abstractNumId w:val="28"/>
  </w:num>
  <w:num w:numId="29" w16cid:durableId="1715230721">
    <w:abstractNumId w:val="18"/>
  </w:num>
  <w:num w:numId="30" w16cid:durableId="1652522627">
    <w:abstractNumId w:val="14"/>
  </w:num>
  <w:num w:numId="31" w16cid:durableId="1597595327">
    <w:abstractNumId w:val="8"/>
  </w:num>
  <w:num w:numId="32" w16cid:durableId="143093119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0BA0"/>
    <w:rsid w:val="00010E0F"/>
    <w:rsid w:val="00014063"/>
    <w:rsid w:val="0004320B"/>
    <w:rsid w:val="0005286F"/>
    <w:rsid w:val="000541E3"/>
    <w:rsid w:val="00060AF5"/>
    <w:rsid w:val="0006354C"/>
    <w:rsid w:val="000735F1"/>
    <w:rsid w:val="0007606E"/>
    <w:rsid w:val="00081592"/>
    <w:rsid w:val="00084D18"/>
    <w:rsid w:val="000920A9"/>
    <w:rsid w:val="000920F3"/>
    <w:rsid w:val="00095250"/>
    <w:rsid w:val="00095C32"/>
    <w:rsid w:val="000A1053"/>
    <w:rsid w:val="000A6B7B"/>
    <w:rsid w:val="000B45A1"/>
    <w:rsid w:val="000B7CAC"/>
    <w:rsid w:val="000C0FCD"/>
    <w:rsid w:val="000C340C"/>
    <w:rsid w:val="000D21F9"/>
    <w:rsid w:val="000D29C7"/>
    <w:rsid w:val="000E14D8"/>
    <w:rsid w:val="000E4BF8"/>
    <w:rsid w:val="000E5366"/>
    <w:rsid w:val="001076DC"/>
    <w:rsid w:val="00110B24"/>
    <w:rsid w:val="00111395"/>
    <w:rsid w:val="001153B7"/>
    <w:rsid w:val="00116D6E"/>
    <w:rsid w:val="00122FAB"/>
    <w:rsid w:val="001240D7"/>
    <w:rsid w:val="00124ADB"/>
    <w:rsid w:val="00133C6A"/>
    <w:rsid w:val="001374BB"/>
    <w:rsid w:val="001469CC"/>
    <w:rsid w:val="00146B2B"/>
    <w:rsid w:val="00151DFB"/>
    <w:rsid w:val="00152C0B"/>
    <w:rsid w:val="00156B36"/>
    <w:rsid w:val="00170AF4"/>
    <w:rsid w:val="00173292"/>
    <w:rsid w:val="001735B5"/>
    <w:rsid w:val="00191961"/>
    <w:rsid w:val="0019428B"/>
    <w:rsid w:val="001B3571"/>
    <w:rsid w:val="001C73B9"/>
    <w:rsid w:val="001D10E7"/>
    <w:rsid w:val="001D31CF"/>
    <w:rsid w:val="001D3446"/>
    <w:rsid w:val="001D5D18"/>
    <w:rsid w:val="001E04D4"/>
    <w:rsid w:val="001E382C"/>
    <w:rsid w:val="00205E4D"/>
    <w:rsid w:val="00214FFD"/>
    <w:rsid w:val="0022149E"/>
    <w:rsid w:val="00225184"/>
    <w:rsid w:val="00230E4A"/>
    <w:rsid w:val="00234D8D"/>
    <w:rsid w:val="0025545A"/>
    <w:rsid w:val="00260E00"/>
    <w:rsid w:val="00264311"/>
    <w:rsid w:val="00265A16"/>
    <w:rsid w:val="00267FDB"/>
    <w:rsid w:val="00290D24"/>
    <w:rsid w:val="00294D97"/>
    <w:rsid w:val="002968A3"/>
    <w:rsid w:val="002A2308"/>
    <w:rsid w:val="002A3EA1"/>
    <w:rsid w:val="002A6AB0"/>
    <w:rsid w:val="002C0C60"/>
    <w:rsid w:val="002C3BE4"/>
    <w:rsid w:val="002C3FDC"/>
    <w:rsid w:val="002C68ED"/>
    <w:rsid w:val="002D2A55"/>
    <w:rsid w:val="002E0128"/>
    <w:rsid w:val="002E4E27"/>
    <w:rsid w:val="002F0DCA"/>
    <w:rsid w:val="002F147F"/>
    <w:rsid w:val="002F290F"/>
    <w:rsid w:val="002F7F7F"/>
    <w:rsid w:val="00302F7D"/>
    <w:rsid w:val="00304245"/>
    <w:rsid w:val="003072B2"/>
    <w:rsid w:val="00307404"/>
    <w:rsid w:val="0031034B"/>
    <w:rsid w:val="003120FA"/>
    <w:rsid w:val="00313006"/>
    <w:rsid w:val="0031635C"/>
    <w:rsid w:val="00342E53"/>
    <w:rsid w:val="00345B1A"/>
    <w:rsid w:val="00347676"/>
    <w:rsid w:val="00347AAC"/>
    <w:rsid w:val="00347DFD"/>
    <w:rsid w:val="00350CAE"/>
    <w:rsid w:val="0035492E"/>
    <w:rsid w:val="00354FCC"/>
    <w:rsid w:val="0035610A"/>
    <w:rsid w:val="00374FA9"/>
    <w:rsid w:val="00393C12"/>
    <w:rsid w:val="00394854"/>
    <w:rsid w:val="00394B58"/>
    <w:rsid w:val="003A28D9"/>
    <w:rsid w:val="003A3758"/>
    <w:rsid w:val="003B696E"/>
    <w:rsid w:val="003C0F74"/>
    <w:rsid w:val="003D1872"/>
    <w:rsid w:val="003E1200"/>
    <w:rsid w:val="003E1B9F"/>
    <w:rsid w:val="003E4720"/>
    <w:rsid w:val="003E66B5"/>
    <w:rsid w:val="003F2799"/>
    <w:rsid w:val="003F2E78"/>
    <w:rsid w:val="00406AC6"/>
    <w:rsid w:val="00406BD0"/>
    <w:rsid w:val="00413B84"/>
    <w:rsid w:val="00415D1C"/>
    <w:rsid w:val="00420D88"/>
    <w:rsid w:val="004310AD"/>
    <w:rsid w:val="00434BD4"/>
    <w:rsid w:val="00440B74"/>
    <w:rsid w:val="004455FA"/>
    <w:rsid w:val="00457335"/>
    <w:rsid w:val="00463E1A"/>
    <w:rsid w:val="00475151"/>
    <w:rsid w:val="00481800"/>
    <w:rsid w:val="004859AD"/>
    <w:rsid w:val="004A7A95"/>
    <w:rsid w:val="004B4AB0"/>
    <w:rsid w:val="004B748D"/>
    <w:rsid w:val="004C6AD9"/>
    <w:rsid w:val="004D3B3A"/>
    <w:rsid w:val="004D4658"/>
    <w:rsid w:val="004E11CF"/>
    <w:rsid w:val="004F1727"/>
    <w:rsid w:val="004F44EA"/>
    <w:rsid w:val="004F758D"/>
    <w:rsid w:val="005134E1"/>
    <w:rsid w:val="00520601"/>
    <w:rsid w:val="00522333"/>
    <w:rsid w:val="00524303"/>
    <w:rsid w:val="00532101"/>
    <w:rsid w:val="00532D5C"/>
    <w:rsid w:val="005342F5"/>
    <w:rsid w:val="0053514B"/>
    <w:rsid w:val="005365B4"/>
    <w:rsid w:val="0054069E"/>
    <w:rsid w:val="00541F7A"/>
    <w:rsid w:val="00546487"/>
    <w:rsid w:val="005561C2"/>
    <w:rsid w:val="00556D20"/>
    <w:rsid w:val="00565FB1"/>
    <w:rsid w:val="0056606F"/>
    <w:rsid w:val="00567431"/>
    <w:rsid w:val="00570BBE"/>
    <w:rsid w:val="00587ADA"/>
    <w:rsid w:val="00587F01"/>
    <w:rsid w:val="005926BE"/>
    <w:rsid w:val="005A4CAE"/>
    <w:rsid w:val="005A559C"/>
    <w:rsid w:val="005B4E1B"/>
    <w:rsid w:val="005B519F"/>
    <w:rsid w:val="005D2562"/>
    <w:rsid w:val="005E23F7"/>
    <w:rsid w:val="005E56E8"/>
    <w:rsid w:val="005F239C"/>
    <w:rsid w:val="005F32ED"/>
    <w:rsid w:val="00601B63"/>
    <w:rsid w:val="00606FD3"/>
    <w:rsid w:val="006074B9"/>
    <w:rsid w:val="006123F9"/>
    <w:rsid w:val="0061314C"/>
    <w:rsid w:val="006179FE"/>
    <w:rsid w:val="0064656E"/>
    <w:rsid w:val="00652155"/>
    <w:rsid w:val="00652B50"/>
    <w:rsid w:val="00652D0D"/>
    <w:rsid w:val="0065347E"/>
    <w:rsid w:val="00663D86"/>
    <w:rsid w:val="006836FF"/>
    <w:rsid w:val="00683CE8"/>
    <w:rsid w:val="006A0EA5"/>
    <w:rsid w:val="006A7BC3"/>
    <w:rsid w:val="006B029A"/>
    <w:rsid w:val="006B1CB3"/>
    <w:rsid w:val="006B5BEB"/>
    <w:rsid w:val="006D31E6"/>
    <w:rsid w:val="006D5F27"/>
    <w:rsid w:val="006E4F16"/>
    <w:rsid w:val="006E6A63"/>
    <w:rsid w:val="006F3150"/>
    <w:rsid w:val="006F5ACA"/>
    <w:rsid w:val="00737185"/>
    <w:rsid w:val="00745806"/>
    <w:rsid w:val="00755AE7"/>
    <w:rsid w:val="00756559"/>
    <w:rsid w:val="00756CF3"/>
    <w:rsid w:val="00760BB2"/>
    <w:rsid w:val="007653CB"/>
    <w:rsid w:val="00766385"/>
    <w:rsid w:val="00766B7C"/>
    <w:rsid w:val="00767E15"/>
    <w:rsid w:val="00772F59"/>
    <w:rsid w:val="00773A96"/>
    <w:rsid w:val="007901E1"/>
    <w:rsid w:val="00796D06"/>
    <w:rsid w:val="007A0DA7"/>
    <w:rsid w:val="007A7E08"/>
    <w:rsid w:val="007B44FC"/>
    <w:rsid w:val="007C504E"/>
    <w:rsid w:val="007D034F"/>
    <w:rsid w:val="007D6C53"/>
    <w:rsid w:val="007E7545"/>
    <w:rsid w:val="007F142D"/>
    <w:rsid w:val="00804521"/>
    <w:rsid w:val="008149C9"/>
    <w:rsid w:val="008160B4"/>
    <w:rsid w:val="00830C22"/>
    <w:rsid w:val="008316B1"/>
    <w:rsid w:val="0084572A"/>
    <w:rsid w:val="00850934"/>
    <w:rsid w:val="0085107F"/>
    <w:rsid w:val="008566CC"/>
    <w:rsid w:val="00860FD3"/>
    <w:rsid w:val="00864CCA"/>
    <w:rsid w:val="00874C59"/>
    <w:rsid w:val="00883F5D"/>
    <w:rsid w:val="00886F66"/>
    <w:rsid w:val="00890FE1"/>
    <w:rsid w:val="00896397"/>
    <w:rsid w:val="008A5A7B"/>
    <w:rsid w:val="008B7915"/>
    <w:rsid w:val="008C6AAD"/>
    <w:rsid w:val="008C772F"/>
    <w:rsid w:val="008D0049"/>
    <w:rsid w:val="008D4278"/>
    <w:rsid w:val="008E7821"/>
    <w:rsid w:val="008F40A2"/>
    <w:rsid w:val="008F42D5"/>
    <w:rsid w:val="00920A87"/>
    <w:rsid w:val="00924365"/>
    <w:rsid w:val="00924675"/>
    <w:rsid w:val="0092526C"/>
    <w:rsid w:val="00936A65"/>
    <w:rsid w:val="00960846"/>
    <w:rsid w:val="00961351"/>
    <w:rsid w:val="00976B2F"/>
    <w:rsid w:val="00982E06"/>
    <w:rsid w:val="009A237D"/>
    <w:rsid w:val="009B2463"/>
    <w:rsid w:val="009C134B"/>
    <w:rsid w:val="009D041F"/>
    <w:rsid w:val="009D433D"/>
    <w:rsid w:val="009D6B88"/>
    <w:rsid w:val="009E654E"/>
    <w:rsid w:val="00A04C2A"/>
    <w:rsid w:val="00A22275"/>
    <w:rsid w:val="00A22599"/>
    <w:rsid w:val="00A40DED"/>
    <w:rsid w:val="00A45839"/>
    <w:rsid w:val="00A61577"/>
    <w:rsid w:val="00A63F9D"/>
    <w:rsid w:val="00A6500F"/>
    <w:rsid w:val="00A7094E"/>
    <w:rsid w:val="00A719AE"/>
    <w:rsid w:val="00A7298B"/>
    <w:rsid w:val="00A74738"/>
    <w:rsid w:val="00A905CA"/>
    <w:rsid w:val="00AA3E64"/>
    <w:rsid w:val="00AA7B59"/>
    <w:rsid w:val="00AC3250"/>
    <w:rsid w:val="00AD1383"/>
    <w:rsid w:val="00AD6CC1"/>
    <w:rsid w:val="00AE0C33"/>
    <w:rsid w:val="00AE4954"/>
    <w:rsid w:val="00AF5160"/>
    <w:rsid w:val="00AF5BA9"/>
    <w:rsid w:val="00B02B4B"/>
    <w:rsid w:val="00B06936"/>
    <w:rsid w:val="00B17F89"/>
    <w:rsid w:val="00B21478"/>
    <w:rsid w:val="00B2200A"/>
    <w:rsid w:val="00B30861"/>
    <w:rsid w:val="00B3484E"/>
    <w:rsid w:val="00B35209"/>
    <w:rsid w:val="00B477C0"/>
    <w:rsid w:val="00B55CED"/>
    <w:rsid w:val="00B74D78"/>
    <w:rsid w:val="00B75E9D"/>
    <w:rsid w:val="00B8138E"/>
    <w:rsid w:val="00B919BE"/>
    <w:rsid w:val="00B92FBA"/>
    <w:rsid w:val="00BB22A2"/>
    <w:rsid w:val="00BB6C1A"/>
    <w:rsid w:val="00BC182C"/>
    <w:rsid w:val="00BD0E81"/>
    <w:rsid w:val="00BD1D4B"/>
    <w:rsid w:val="00BD1D82"/>
    <w:rsid w:val="00BD4AFB"/>
    <w:rsid w:val="00BD61B3"/>
    <w:rsid w:val="00BE0344"/>
    <w:rsid w:val="00BE365F"/>
    <w:rsid w:val="00BF26DA"/>
    <w:rsid w:val="00BF48FF"/>
    <w:rsid w:val="00BF4FEE"/>
    <w:rsid w:val="00C00EE5"/>
    <w:rsid w:val="00C011E0"/>
    <w:rsid w:val="00C02C8C"/>
    <w:rsid w:val="00C03B43"/>
    <w:rsid w:val="00C34F07"/>
    <w:rsid w:val="00C46898"/>
    <w:rsid w:val="00C4769F"/>
    <w:rsid w:val="00C50376"/>
    <w:rsid w:val="00C6500D"/>
    <w:rsid w:val="00C65585"/>
    <w:rsid w:val="00C86348"/>
    <w:rsid w:val="00CC616D"/>
    <w:rsid w:val="00CC640B"/>
    <w:rsid w:val="00CC7B4B"/>
    <w:rsid w:val="00CD00A8"/>
    <w:rsid w:val="00CE051E"/>
    <w:rsid w:val="00CF77FD"/>
    <w:rsid w:val="00D006F4"/>
    <w:rsid w:val="00D04596"/>
    <w:rsid w:val="00D063EE"/>
    <w:rsid w:val="00D07A08"/>
    <w:rsid w:val="00D12547"/>
    <w:rsid w:val="00D128B0"/>
    <w:rsid w:val="00D34476"/>
    <w:rsid w:val="00D3451A"/>
    <w:rsid w:val="00D42440"/>
    <w:rsid w:val="00D4512B"/>
    <w:rsid w:val="00D4729D"/>
    <w:rsid w:val="00D5072D"/>
    <w:rsid w:val="00D644E9"/>
    <w:rsid w:val="00D679E8"/>
    <w:rsid w:val="00D7004D"/>
    <w:rsid w:val="00D741F4"/>
    <w:rsid w:val="00D75E61"/>
    <w:rsid w:val="00D827A0"/>
    <w:rsid w:val="00D9314C"/>
    <w:rsid w:val="00DA4A85"/>
    <w:rsid w:val="00DB5829"/>
    <w:rsid w:val="00DB60D3"/>
    <w:rsid w:val="00DD3195"/>
    <w:rsid w:val="00DD3F66"/>
    <w:rsid w:val="00DD7104"/>
    <w:rsid w:val="00DE4DCA"/>
    <w:rsid w:val="00DE5CDF"/>
    <w:rsid w:val="00DE7D58"/>
    <w:rsid w:val="00DF2108"/>
    <w:rsid w:val="00E12652"/>
    <w:rsid w:val="00E179F7"/>
    <w:rsid w:val="00E23BC8"/>
    <w:rsid w:val="00E265D2"/>
    <w:rsid w:val="00E31DDF"/>
    <w:rsid w:val="00E3577B"/>
    <w:rsid w:val="00E36BA8"/>
    <w:rsid w:val="00E47D08"/>
    <w:rsid w:val="00E51D02"/>
    <w:rsid w:val="00E56E07"/>
    <w:rsid w:val="00E575A2"/>
    <w:rsid w:val="00E612B8"/>
    <w:rsid w:val="00E8564D"/>
    <w:rsid w:val="00E9035E"/>
    <w:rsid w:val="00EB60D5"/>
    <w:rsid w:val="00EC394D"/>
    <w:rsid w:val="00EC46E4"/>
    <w:rsid w:val="00EC617D"/>
    <w:rsid w:val="00ED5219"/>
    <w:rsid w:val="00EE3397"/>
    <w:rsid w:val="00EF1768"/>
    <w:rsid w:val="00EF6DFF"/>
    <w:rsid w:val="00F06B46"/>
    <w:rsid w:val="00F06BBC"/>
    <w:rsid w:val="00F20D97"/>
    <w:rsid w:val="00F22D30"/>
    <w:rsid w:val="00F31132"/>
    <w:rsid w:val="00F33FE4"/>
    <w:rsid w:val="00F43649"/>
    <w:rsid w:val="00F47BF8"/>
    <w:rsid w:val="00F60D21"/>
    <w:rsid w:val="00F62E9E"/>
    <w:rsid w:val="00F6346F"/>
    <w:rsid w:val="00F66899"/>
    <w:rsid w:val="00F70120"/>
    <w:rsid w:val="00F73D6E"/>
    <w:rsid w:val="00F90353"/>
    <w:rsid w:val="00F926D6"/>
    <w:rsid w:val="00F93B33"/>
    <w:rsid w:val="00FA1FA7"/>
    <w:rsid w:val="00FB15A5"/>
    <w:rsid w:val="00FB6148"/>
    <w:rsid w:val="00FC0DEB"/>
    <w:rsid w:val="00FD0E5E"/>
    <w:rsid w:val="00FD7FC7"/>
    <w:rsid w:val="00FF48E2"/>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1"/>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1"/>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numPr>
        <w:ilvl w:val="2"/>
        <w:numId w:val="1"/>
      </w:numPr>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1"/>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1"/>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1"/>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1"/>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1"/>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Revision">
    <w:name w:val="Revision"/>
    <w:hidden/>
    <w:uiPriority w:val="99"/>
    <w:semiHidden/>
    <w:rsid w:val="005365B4"/>
    <w:pPr>
      <w:spacing w:after="0" w:line="240" w:lineRule="auto"/>
    </w:pPr>
  </w:style>
  <w:style w:type="paragraph" w:styleId="TOCHeading">
    <w:name w:val="TOC Heading"/>
    <w:basedOn w:val="Heading1"/>
    <w:next w:val="Normal"/>
    <w:uiPriority w:val="39"/>
    <w:unhideWhenUsed/>
    <w:qFormat/>
    <w:rsid w:val="00E575A2"/>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AF5BA9"/>
    <w:pPr>
      <w:tabs>
        <w:tab w:val="left" w:pos="66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755AE7"/>
    <w:pPr>
      <w:tabs>
        <w:tab w:val="left" w:pos="440"/>
        <w:tab w:val="right" w:leader="dot" w:pos="10070"/>
      </w:tabs>
      <w:spacing w:after="240"/>
    </w:pPr>
    <w:rPr>
      <w:rFonts w:eastAsiaTheme="minorEastAsia" w:cs="Times New Roman"/>
    </w:rPr>
  </w:style>
  <w:style w:type="paragraph" w:styleId="TOC3">
    <w:name w:val="toc 3"/>
    <w:basedOn w:val="Normal"/>
    <w:next w:val="Normal"/>
    <w:autoRedefine/>
    <w:uiPriority w:val="39"/>
    <w:unhideWhenUsed/>
    <w:rsid w:val="00E575A2"/>
    <w:pPr>
      <w:spacing w:after="100"/>
      <w:ind w:left="440"/>
    </w:pPr>
    <w:rPr>
      <w:rFonts w:eastAsiaTheme="minorEastAsia" w:cs="Times New Roman"/>
    </w:rPr>
  </w:style>
  <w:style w:type="character" w:styleId="Hyperlink">
    <w:name w:val="Hyperlink"/>
    <w:basedOn w:val="DefaultParagraphFont"/>
    <w:uiPriority w:val="99"/>
    <w:unhideWhenUsed/>
    <w:rsid w:val="006B5BEB"/>
    <w:rPr>
      <w:color w:val="0563C1" w:themeColor="hyperlink"/>
      <w:u w:val="single"/>
    </w:rPr>
  </w:style>
  <w:style w:type="character" w:styleId="FollowedHyperlink">
    <w:name w:val="FollowedHyperlink"/>
    <w:basedOn w:val="DefaultParagraphFont"/>
    <w:uiPriority w:val="99"/>
    <w:semiHidden/>
    <w:unhideWhenUsed/>
    <w:rsid w:val="007C504E"/>
    <w:rPr>
      <w:color w:val="954F72" w:themeColor="followedHyperlink"/>
      <w:u w:val="single"/>
    </w:rPr>
  </w:style>
  <w:style w:type="character" w:styleId="UnresolvedMention">
    <w:name w:val="Unresolved Mention"/>
    <w:basedOn w:val="DefaultParagraphFont"/>
    <w:uiPriority w:val="99"/>
    <w:semiHidden/>
    <w:unhideWhenUsed/>
    <w:rsid w:val="00EB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uary.org/files/imce/LTC_Credibility_Monograph_081720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58221-1982-4F67-A1C5-5425096549E0}">
  <ds:schemaRefs>
    <ds:schemaRef ds:uri="http://purl.org/dc/elements/1.1/"/>
    <ds:schemaRef ds:uri="http://purl.org/dc/dcmitype/"/>
    <ds:schemaRef ds:uri="http://schemas.microsoft.com/office/2006/documentManagement/types"/>
    <ds:schemaRef ds:uri="http://purl.org/dc/terms/"/>
    <ds:schemaRef ds:uri="http://www.w3.org/XML/1998/namespace"/>
    <ds:schemaRef ds:uri="ac9957ec-0e1b-4d3a-a814-8fbf9edb18db"/>
    <ds:schemaRef ds:uri="http://schemas.microsoft.com/office/2006/metadata/properties"/>
    <ds:schemaRef ds:uri="http://schemas.microsoft.com/office/infopath/2007/PartnerControls"/>
    <ds:schemaRef ds:uri="http://schemas.openxmlformats.org/package/2006/metadata/core-properties"/>
    <ds:schemaRef ds:uri="bade567d-aaa0-4c25-b66c-107a86b94e0e"/>
    <ds:schemaRef ds:uri="http://schemas.microsoft.com/sharepoint/v3"/>
  </ds:schemaRefs>
</ds:datastoreItem>
</file>

<file path=customXml/itemProps2.xml><?xml version="1.0" encoding="utf-8"?>
<ds:datastoreItem xmlns:ds="http://schemas.openxmlformats.org/officeDocument/2006/customXml" ds:itemID="{D341FB97-BF90-4350-A3B3-0CF515E4AC88}">
  <ds:schemaRefs>
    <ds:schemaRef ds:uri="http://schemas.openxmlformats.org/officeDocument/2006/bibliography"/>
  </ds:schemaRefs>
</ds:datastoreItem>
</file>

<file path=customXml/itemProps3.xml><?xml version="1.0" encoding="utf-8"?>
<ds:datastoreItem xmlns:ds="http://schemas.openxmlformats.org/officeDocument/2006/customXml" ds:itemID="{742006E8-55B6-4D5B-9BCF-D04BB699D596}"/>
</file>

<file path=customXml/itemProps4.xml><?xml version="1.0" encoding="utf-8"?>
<ds:datastoreItem xmlns:ds="http://schemas.openxmlformats.org/officeDocument/2006/customXml" ds:itemID="{EA82C5E4-06C7-4943-A5BC-A26C42DB8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Armfield, Kelli (OIC)</dc:creator>
  <cp:keywords/>
  <dc:description/>
  <cp:lastModifiedBy>Darvas, Joe (OIC)</cp:lastModifiedBy>
  <cp:revision>10</cp:revision>
  <cp:lastPrinted>2023-02-08T23:38:00Z</cp:lastPrinted>
  <dcterms:created xsi:type="dcterms:W3CDTF">2025-02-03T18:16:00Z</dcterms:created>
  <dcterms:modified xsi:type="dcterms:W3CDTF">2025-04-03T23:14:00Z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