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0A0" w:rsidRDefault="009B3BF8">
      <w:pPr>
        <w:pStyle w:val="BodyText"/>
        <w:ind w:left="105"/>
        <w:rPr>
          <w:rFonts w:ascii="Times New Roman"/>
        </w:rPr>
      </w:pPr>
      <w:bookmarkStart w:id="0" w:name="_GoBack"/>
      <w:bookmarkEnd w:id="0"/>
      <w:r>
        <w:rPr>
          <w:rFonts w:ascii="Times New Roman"/>
          <w:noProof/>
          <w:lang w:bidi="ar-SA"/>
        </w:rPr>
        <w:drawing>
          <wp:inline distT="0" distB="0" distL="0" distR="0" wp14:anchorId="0DA7C40A" wp14:editId="78185F9D">
            <wp:extent cx="2354580" cy="6324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354580" cy="632459"/>
                    </a:xfrm>
                    <a:prstGeom prst="rect">
                      <a:avLst/>
                    </a:prstGeom>
                  </pic:spPr>
                </pic:pic>
              </a:graphicData>
            </a:graphic>
          </wp:inline>
        </w:drawing>
      </w:r>
    </w:p>
    <w:p w:rsidR="00BA2F19" w:rsidRPr="00812B7F" w:rsidRDefault="00BA2F19">
      <w:pPr>
        <w:pStyle w:val="BodyText"/>
        <w:ind w:left="105"/>
        <w:rPr>
          <w:rFonts w:ascii="Segoe UI" w:hAnsi="Segoe UI" w:cs="Segoe UI"/>
        </w:rPr>
      </w:pPr>
    </w:p>
    <w:p w:rsidR="00E41C95" w:rsidRPr="00812B7F" w:rsidRDefault="00E41C95">
      <w:pPr>
        <w:pStyle w:val="BodyText"/>
        <w:ind w:left="105"/>
        <w:rPr>
          <w:rFonts w:ascii="Segoe UI" w:hAnsi="Segoe UI" w:cs="Segoe UI"/>
        </w:rPr>
      </w:pPr>
      <w:r w:rsidRPr="00812B7F">
        <w:rPr>
          <w:rFonts w:ascii="Segoe UI" w:hAnsi="Segoe UI" w:cs="Segoe UI"/>
        </w:rPr>
        <w:t xml:space="preserve">Please complete the form below and send it with the </w:t>
      </w:r>
      <w:r w:rsidR="003311E0" w:rsidRPr="00812B7F">
        <w:rPr>
          <w:rFonts w:ascii="Segoe UI" w:hAnsi="Segoe UI" w:cs="Segoe UI"/>
        </w:rPr>
        <w:t>corresponding Arbitration Initiation Request Form</w:t>
      </w:r>
      <w:r w:rsidRPr="00812B7F">
        <w:rPr>
          <w:rFonts w:ascii="Segoe UI" w:hAnsi="Segoe UI" w:cs="Segoe UI"/>
        </w:rPr>
        <w:t xml:space="preserve"> and </w:t>
      </w:r>
      <w:r w:rsidR="003311E0" w:rsidRPr="00812B7F">
        <w:rPr>
          <w:rFonts w:ascii="Segoe UI" w:hAnsi="Segoe UI" w:cs="Segoe UI"/>
        </w:rPr>
        <w:t xml:space="preserve">your </w:t>
      </w:r>
      <w:r w:rsidRPr="00812B7F">
        <w:rPr>
          <w:rFonts w:ascii="Segoe UI" w:hAnsi="Segoe UI" w:cs="Segoe UI"/>
        </w:rPr>
        <w:t xml:space="preserve">decision to </w:t>
      </w:r>
      <w:hyperlink r:id="rId9" w:history="1">
        <w:r w:rsidRPr="00812B7F">
          <w:rPr>
            <w:rStyle w:val="Hyperlink"/>
            <w:rFonts w:ascii="Segoe UI" w:hAnsi="Segoe UI" w:cs="Segoe UI"/>
          </w:rPr>
          <w:t>BBPA_Arbitration@oic.wa.gov</w:t>
        </w:r>
      </w:hyperlink>
    </w:p>
    <w:p w:rsidR="00E41C95" w:rsidRDefault="00E41C95">
      <w:pPr>
        <w:pStyle w:val="BodyText"/>
        <w:ind w:left="105"/>
        <w:rPr>
          <w:rFonts w:ascii="Times New Roman"/>
        </w:rPr>
      </w:pPr>
    </w:p>
    <w:tbl>
      <w:tblPr>
        <w:tblpPr w:leftFromText="180" w:rightFromText="180" w:vertAnchor="text" w:horzAnchor="margin" w:tblpY="26"/>
        <w:tblW w:w="9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14"/>
        <w:gridCol w:w="2020"/>
        <w:gridCol w:w="4703"/>
      </w:tblGrid>
      <w:tr w:rsidR="00C360A0" w:rsidTr="005323A2">
        <w:trPr>
          <w:trHeight w:val="671"/>
        </w:trPr>
        <w:tc>
          <w:tcPr>
            <w:tcW w:w="9837" w:type="dxa"/>
            <w:gridSpan w:val="3"/>
            <w:shd w:val="clear" w:color="auto" w:fill="D9D9D9"/>
          </w:tcPr>
          <w:p w:rsidR="00C360A0" w:rsidRDefault="00D7504C" w:rsidP="00812B7F">
            <w:pPr>
              <w:jc w:val="center"/>
              <w:rPr>
                <w:rFonts w:ascii="Times New Roman"/>
                <w:sz w:val="16"/>
              </w:rPr>
            </w:pPr>
            <w:r w:rsidRPr="009B3BF8">
              <w:rPr>
                <w:rFonts w:ascii="Segoe UI"/>
                <w:b/>
                <w:sz w:val="28"/>
                <w:szCs w:val="28"/>
              </w:rPr>
              <w:t>ARB</w:t>
            </w:r>
            <w:r>
              <w:rPr>
                <w:rFonts w:ascii="Segoe UI"/>
                <w:b/>
                <w:sz w:val="28"/>
                <w:szCs w:val="28"/>
              </w:rPr>
              <w:t>ITRATOR DECISION REPORTING FORM</w:t>
            </w:r>
          </w:p>
        </w:tc>
      </w:tr>
      <w:tr w:rsidR="00CC3E58" w:rsidTr="005323A2">
        <w:trPr>
          <w:trHeight w:val="227"/>
        </w:trPr>
        <w:tc>
          <w:tcPr>
            <w:tcW w:w="9837" w:type="dxa"/>
            <w:gridSpan w:val="3"/>
            <w:shd w:val="clear" w:color="auto" w:fill="D9D9D9"/>
          </w:tcPr>
          <w:p w:rsidR="00CC3E58" w:rsidRPr="00812B7F" w:rsidRDefault="00CC3E58" w:rsidP="00812B7F">
            <w:pPr>
              <w:rPr>
                <w:rFonts w:asciiTheme="minorHAnsi" w:hAnsiTheme="minorHAnsi" w:cstheme="minorHAnsi"/>
                <w:b/>
                <w:sz w:val="24"/>
                <w:szCs w:val="24"/>
              </w:rPr>
            </w:pPr>
            <w:r w:rsidRPr="00812B7F">
              <w:rPr>
                <w:rFonts w:asciiTheme="minorHAnsi" w:hAnsiTheme="minorHAnsi" w:cstheme="minorHAnsi"/>
                <w:b/>
                <w:sz w:val="24"/>
                <w:szCs w:val="24"/>
              </w:rPr>
              <w:t>ARBITRATOR’S INFORMATION</w:t>
            </w:r>
          </w:p>
        </w:tc>
      </w:tr>
      <w:tr w:rsidR="00C360A0" w:rsidTr="00446274">
        <w:trPr>
          <w:trHeight w:val="1498"/>
        </w:trPr>
        <w:tc>
          <w:tcPr>
            <w:tcW w:w="3114" w:type="dxa"/>
          </w:tcPr>
          <w:p w:rsidR="00C360A0" w:rsidRPr="00812B7F" w:rsidRDefault="00E41C95" w:rsidP="00812B7F">
            <w:pPr>
              <w:pStyle w:val="TableParagraph"/>
              <w:ind w:left="101" w:right="101"/>
              <w:rPr>
                <w:rFonts w:ascii="Segoe UI" w:hAnsi="Segoe UI" w:cs="Segoe UI"/>
              </w:rPr>
            </w:pPr>
            <w:r w:rsidRPr="00812B7F">
              <w:rPr>
                <w:rFonts w:ascii="Segoe UI" w:hAnsi="Segoe UI" w:cs="Segoe UI"/>
              </w:rPr>
              <w:t>Your</w:t>
            </w:r>
            <w:r w:rsidR="00BA2F19" w:rsidRPr="00812B7F">
              <w:rPr>
                <w:rFonts w:ascii="Segoe UI" w:hAnsi="Segoe UI" w:cs="Segoe UI"/>
              </w:rPr>
              <w:t xml:space="preserve"> </w:t>
            </w:r>
            <w:r w:rsidRPr="00812B7F">
              <w:rPr>
                <w:rFonts w:ascii="Segoe UI" w:hAnsi="Segoe UI" w:cs="Segoe UI"/>
              </w:rPr>
              <w:t>name and c</w:t>
            </w:r>
            <w:r w:rsidR="00C360A0" w:rsidRPr="00812B7F">
              <w:rPr>
                <w:rFonts w:ascii="Segoe UI" w:hAnsi="Segoe UI" w:cs="Segoe UI"/>
              </w:rPr>
              <w:t>ontact Information:</w:t>
            </w:r>
          </w:p>
        </w:tc>
        <w:tc>
          <w:tcPr>
            <w:tcW w:w="6723" w:type="dxa"/>
            <w:gridSpan w:val="2"/>
          </w:tcPr>
          <w:p w:rsidR="00C360A0" w:rsidRDefault="00C360A0" w:rsidP="00812B7F">
            <w:pPr>
              <w:pStyle w:val="TableParagraph"/>
              <w:spacing w:before="0"/>
              <w:ind w:left="101" w:right="101"/>
              <w:rPr>
                <w:rFonts w:ascii="Times New Roman"/>
                <w:sz w:val="18"/>
              </w:rPr>
            </w:pPr>
          </w:p>
        </w:tc>
      </w:tr>
      <w:tr w:rsidR="00CC3E58" w:rsidTr="005323A2">
        <w:trPr>
          <w:trHeight w:val="143"/>
        </w:trPr>
        <w:tc>
          <w:tcPr>
            <w:tcW w:w="9837" w:type="dxa"/>
            <w:gridSpan w:val="3"/>
            <w:shd w:val="clear" w:color="auto" w:fill="D9D9D9" w:themeFill="background1" w:themeFillShade="D9"/>
          </w:tcPr>
          <w:p w:rsidR="00CC3E58" w:rsidRDefault="00CC3E58" w:rsidP="00812B7F">
            <w:pPr>
              <w:pStyle w:val="TableParagraph"/>
              <w:spacing w:before="0"/>
              <w:ind w:left="101" w:right="101"/>
              <w:rPr>
                <w:rFonts w:ascii="Times New Roman"/>
                <w:sz w:val="18"/>
              </w:rPr>
            </w:pPr>
          </w:p>
        </w:tc>
      </w:tr>
      <w:tr w:rsidR="00B35C97" w:rsidTr="005323A2">
        <w:trPr>
          <w:trHeight w:val="623"/>
        </w:trPr>
        <w:tc>
          <w:tcPr>
            <w:tcW w:w="5134" w:type="dxa"/>
            <w:gridSpan w:val="2"/>
            <w:tcBorders>
              <w:right w:val="single" w:sz="4" w:space="0" w:color="auto"/>
            </w:tcBorders>
          </w:tcPr>
          <w:p w:rsidR="00B35C97" w:rsidRPr="00812B7F" w:rsidRDefault="00B35C97" w:rsidP="00812B7F">
            <w:pPr>
              <w:pStyle w:val="TableParagraph"/>
              <w:spacing w:before="0"/>
              <w:ind w:left="101" w:right="101"/>
              <w:rPr>
                <w:rFonts w:ascii="Segoe UI" w:hAnsi="Segoe UI" w:cs="Segoe UI"/>
                <w:sz w:val="18"/>
              </w:rPr>
            </w:pPr>
            <w:r w:rsidRPr="00812B7F">
              <w:rPr>
                <w:rFonts w:ascii="Segoe UI" w:hAnsi="Segoe UI" w:cs="Segoe UI"/>
              </w:rPr>
              <w:t>Date of your decision:</w:t>
            </w:r>
          </w:p>
        </w:tc>
        <w:tc>
          <w:tcPr>
            <w:tcW w:w="4703" w:type="dxa"/>
          </w:tcPr>
          <w:p w:rsidR="00B35C97" w:rsidRPr="00812B7F" w:rsidRDefault="00B35C97" w:rsidP="00812B7F">
            <w:pPr>
              <w:pStyle w:val="TableParagraph"/>
              <w:spacing w:before="0"/>
              <w:ind w:left="101" w:right="101"/>
              <w:rPr>
                <w:rFonts w:ascii="Segoe UI" w:hAnsi="Segoe UI" w:cs="Segoe UI"/>
              </w:rPr>
            </w:pPr>
            <w:r w:rsidRPr="00812B7F">
              <w:rPr>
                <w:rFonts w:ascii="Segoe UI" w:hAnsi="Segoe UI" w:cs="Segoe UI"/>
              </w:rPr>
              <w:t xml:space="preserve">OIC Tracking Number: </w:t>
            </w:r>
          </w:p>
        </w:tc>
      </w:tr>
      <w:tr w:rsidR="00BA2F19" w:rsidTr="005323A2">
        <w:trPr>
          <w:trHeight w:val="283"/>
        </w:trPr>
        <w:tc>
          <w:tcPr>
            <w:tcW w:w="9837" w:type="dxa"/>
            <w:gridSpan w:val="3"/>
            <w:shd w:val="clear" w:color="auto" w:fill="D9D9D9" w:themeFill="background1" w:themeFillShade="D9"/>
          </w:tcPr>
          <w:p w:rsidR="00BA2F19" w:rsidRPr="00812B7F" w:rsidRDefault="00CC3E58" w:rsidP="00812B7F">
            <w:pPr>
              <w:pStyle w:val="TableParagraph"/>
              <w:spacing w:before="0"/>
              <w:ind w:left="0" w:right="101"/>
              <w:rPr>
                <w:rFonts w:ascii="Segoe UI" w:hAnsi="Segoe UI" w:cs="Segoe UI"/>
                <w:sz w:val="24"/>
                <w:szCs w:val="24"/>
              </w:rPr>
            </w:pPr>
            <w:r w:rsidRPr="00812B7F">
              <w:rPr>
                <w:rFonts w:ascii="Segoe UI" w:hAnsi="Segoe UI" w:cs="Segoe UI"/>
                <w:b/>
                <w:sz w:val="24"/>
                <w:szCs w:val="24"/>
              </w:rPr>
              <w:t>DISPUTE RESOLUTION INFORMATION</w:t>
            </w:r>
            <w:r w:rsidRPr="00812B7F">
              <w:rPr>
                <w:rFonts w:ascii="Segoe UI" w:hAnsi="Segoe UI" w:cs="Segoe UI"/>
                <w:sz w:val="24"/>
                <w:szCs w:val="24"/>
              </w:rPr>
              <w:t xml:space="preserve"> </w:t>
            </w:r>
            <w:r w:rsidRPr="00812B7F">
              <w:rPr>
                <w:rFonts w:ascii="Segoe UI" w:hAnsi="Segoe UI" w:cs="Segoe UI"/>
                <w:sz w:val="20"/>
                <w:szCs w:val="20"/>
              </w:rPr>
              <w:t>This information is required under RCW 48.49.050</w:t>
            </w:r>
          </w:p>
        </w:tc>
      </w:tr>
      <w:tr w:rsidR="00E41C95" w:rsidTr="00446274">
        <w:trPr>
          <w:trHeight w:val="555"/>
        </w:trPr>
        <w:tc>
          <w:tcPr>
            <w:tcW w:w="3114" w:type="dxa"/>
          </w:tcPr>
          <w:p w:rsidR="00E41C95" w:rsidRPr="00812B7F" w:rsidRDefault="00E41C95" w:rsidP="00812B7F">
            <w:pPr>
              <w:pStyle w:val="TableParagraph"/>
              <w:ind w:left="101" w:right="101"/>
              <w:rPr>
                <w:rFonts w:ascii="Segoe UI" w:hAnsi="Segoe UI" w:cs="Segoe UI"/>
              </w:rPr>
            </w:pPr>
            <w:r w:rsidRPr="00812B7F">
              <w:rPr>
                <w:rFonts w:ascii="Segoe UI" w:hAnsi="Segoe UI" w:cs="Segoe UI"/>
              </w:rPr>
              <w:t>Name</w:t>
            </w:r>
            <w:r w:rsidRPr="00812B7F">
              <w:rPr>
                <w:rFonts w:ascii="Segoe UI" w:hAnsi="Segoe UI" w:cs="Segoe UI"/>
                <w:b/>
              </w:rPr>
              <w:t xml:space="preserve"> </w:t>
            </w:r>
            <w:r w:rsidR="00A60570" w:rsidRPr="00812B7F">
              <w:rPr>
                <w:rFonts w:ascii="Segoe UI" w:hAnsi="Segoe UI" w:cs="Segoe UI"/>
              </w:rPr>
              <w:t>of c</w:t>
            </w:r>
            <w:r w:rsidRPr="00812B7F">
              <w:rPr>
                <w:rFonts w:ascii="Segoe UI" w:hAnsi="Segoe UI" w:cs="Segoe UI"/>
              </w:rPr>
              <w:t>arrier:</w:t>
            </w:r>
          </w:p>
        </w:tc>
        <w:tc>
          <w:tcPr>
            <w:tcW w:w="6723" w:type="dxa"/>
            <w:gridSpan w:val="2"/>
          </w:tcPr>
          <w:p w:rsidR="00E41C95" w:rsidRDefault="00E41C95" w:rsidP="00812B7F">
            <w:pPr>
              <w:pStyle w:val="TableParagraph"/>
              <w:spacing w:before="0"/>
              <w:ind w:left="0"/>
              <w:rPr>
                <w:rFonts w:ascii="Times New Roman"/>
                <w:sz w:val="18"/>
              </w:rPr>
            </w:pPr>
          </w:p>
          <w:p w:rsidR="00446274" w:rsidRDefault="00446274" w:rsidP="00812B7F">
            <w:pPr>
              <w:pStyle w:val="TableParagraph"/>
              <w:spacing w:before="0"/>
              <w:ind w:left="0"/>
              <w:rPr>
                <w:rFonts w:ascii="Times New Roman"/>
                <w:sz w:val="18"/>
              </w:rPr>
            </w:pPr>
          </w:p>
          <w:p w:rsidR="00446274" w:rsidRDefault="00446274" w:rsidP="00812B7F">
            <w:pPr>
              <w:pStyle w:val="TableParagraph"/>
              <w:spacing w:before="0"/>
              <w:ind w:left="0"/>
              <w:rPr>
                <w:rFonts w:ascii="Times New Roman"/>
                <w:sz w:val="18"/>
              </w:rPr>
            </w:pPr>
          </w:p>
        </w:tc>
      </w:tr>
      <w:tr w:rsidR="00E41C95" w:rsidTr="00446274">
        <w:trPr>
          <w:trHeight w:val="555"/>
        </w:trPr>
        <w:tc>
          <w:tcPr>
            <w:tcW w:w="3114" w:type="dxa"/>
            <w:vAlign w:val="center"/>
          </w:tcPr>
          <w:p w:rsidR="00446274" w:rsidRDefault="00E41C95" w:rsidP="00812B7F">
            <w:pPr>
              <w:pStyle w:val="TableParagraph"/>
              <w:spacing w:before="1" w:after="1"/>
              <w:ind w:left="101" w:right="101"/>
              <w:rPr>
                <w:rFonts w:ascii="Segoe UI" w:hAnsi="Segoe UI" w:cs="Segoe UI"/>
              </w:rPr>
            </w:pPr>
            <w:r w:rsidRPr="00812B7F">
              <w:rPr>
                <w:rFonts w:ascii="Segoe UI" w:hAnsi="Segoe UI" w:cs="Segoe UI"/>
              </w:rPr>
              <w:t>Name</w:t>
            </w:r>
            <w:r w:rsidRPr="00812B7F">
              <w:rPr>
                <w:rFonts w:ascii="Segoe UI" w:hAnsi="Segoe UI" w:cs="Segoe UI"/>
                <w:b/>
              </w:rPr>
              <w:t xml:space="preserve"> </w:t>
            </w:r>
            <w:r w:rsidRPr="00812B7F">
              <w:rPr>
                <w:rFonts w:ascii="Segoe UI" w:hAnsi="Segoe UI" w:cs="Segoe UI"/>
              </w:rPr>
              <w:t xml:space="preserve">of health care </w:t>
            </w:r>
          </w:p>
          <w:p w:rsidR="00D7504C" w:rsidRPr="00812B7F" w:rsidRDefault="00E41C95" w:rsidP="00446274">
            <w:pPr>
              <w:pStyle w:val="TableParagraph"/>
              <w:spacing w:before="1" w:after="120"/>
              <w:ind w:left="101" w:right="101"/>
              <w:rPr>
                <w:rFonts w:ascii="Segoe UI" w:hAnsi="Segoe UI" w:cs="Segoe UI"/>
              </w:rPr>
            </w:pPr>
            <w:r w:rsidRPr="00812B7F">
              <w:rPr>
                <w:rFonts w:ascii="Segoe UI" w:hAnsi="Segoe UI" w:cs="Segoe UI"/>
              </w:rPr>
              <w:t>provider</w:t>
            </w:r>
            <w:r w:rsidR="00D7504C" w:rsidRPr="00812B7F">
              <w:rPr>
                <w:rFonts w:ascii="Segoe UI" w:hAnsi="Segoe UI" w:cs="Segoe UI"/>
              </w:rPr>
              <w:t>:</w:t>
            </w:r>
          </w:p>
        </w:tc>
        <w:tc>
          <w:tcPr>
            <w:tcW w:w="6723" w:type="dxa"/>
            <w:gridSpan w:val="2"/>
            <w:vAlign w:val="center"/>
          </w:tcPr>
          <w:p w:rsidR="00E41C95" w:rsidRDefault="00E41C95" w:rsidP="00812B7F">
            <w:pPr>
              <w:pStyle w:val="TableParagraph"/>
              <w:spacing w:before="0"/>
              <w:ind w:left="0"/>
              <w:rPr>
                <w:rFonts w:ascii="Times New Roman"/>
                <w:sz w:val="18"/>
              </w:rPr>
            </w:pPr>
          </w:p>
        </w:tc>
      </w:tr>
      <w:tr w:rsidR="00BA2F19" w:rsidTr="00446274">
        <w:trPr>
          <w:trHeight w:val="1770"/>
        </w:trPr>
        <w:tc>
          <w:tcPr>
            <w:tcW w:w="3114" w:type="dxa"/>
          </w:tcPr>
          <w:p w:rsidR="00E41C95" w:rsidRPr="00812B7F" w:rsidRDefault="00E41C95" w:rsidP="00812B7F">
            <w:pPr>
              <w:pStyle w:val="TableParagraph"/>
              <w:ind w:left="101" w:right="101"/>
              <w:rPr>
                <w:rFonts w:ascii="Segoe UI" w:hAnsi="Segoe UI" w:cs="Segoe UI"/>
              </w:rPr>
            </w:pPr>
            <w:r w:rsidRPr="00812B7F">
              <w:rPr>
                <w:rFonts w:ascii="Segoe UI" w:hAnsi="Segoe UI" w:cs="Segoe UI"/>
              </w:rPr>
              <w:t xml:space="preserve">Name </w:t>
            </w:r>
            <w:r w:rsidR="001C7B62" w:rsidRPr="00812B7F">
              <w:rPr>
                <w:rFonts w:ascii="Segoe UI" w:hAnsi="Segoe UI" w:cs="Segoe UI"/>
              </w:rPr>
              <w:t xml:space="preserve">and address of </w:t>
            </w:r>
            <w:r w:rsidRPr="00812B7F">
              <w:rPr>
                <w:rFonts w:ascii="Segoe UI" w:hAnsi="Segoe UI" w:cs="Segoe UI"/>
              </w:rPr>
              <w:t xml:space="preserve"> the health care provider’s employer or business entity in which provider has ownership interest</w:t>
            </w:r>
            <w:r w:rsidR="00D7504C" w:rsidRPr="00812B7F">
              <w:rPr>
                <w:rFonts w:ascii="Segoe UI" w:hAnsi="Segoe UI" w:cs="Segoe UI"/>
              </w:rPr>
              <w:t>:</w:t>
            </w:r>
          </w:p>
          <w:p w:rsidR="00BA2F19" w:rsidRPr="00812B7F" w:rsidRDefault="00BA2F19" w:rsidP="00812B7F">
            <w:pPr>
              <w:pStyle w:val="TableParagraph"/>
              <w:ind w:left="101" w:right="101"/>
              <w:rPr>
                <w:rFonts w:ascii="Segoe UI" w:hAnsi="Segoe UI" w:cs="Segoe UI"/>
              </w:rPr>
            </w:pPr>
          </w:p>
        </w:tc>
        <w:tc>
          <w:tcPr>
            <w:tcW w:w="6723" w:type="dxa"/>
            <w:gridSpan w:val="2"/>
          </w:tcPr>
          <w:p w:rsidR="00BA2F19" w:rsidRDefault="00BA2F19" w:rsidP="00812B7F">
            <w:pPr>
              <w:pStyle w:val="TableParagraph"/>
              <w:spacing w:before="0"/>
              <w:ind w:left="0"/>
              <w:rPr>
                <w:rFonts w:ascii="Times New Roman"/>
                <w:sz w:val="18"/>
              </w:rPr>
            </w:pPr>
          </w:p>
        </w:tc>
      </w:tr>
      <w:tr w:rsidR="00BA2F19" w:rsidTr="00446274">
        <w:trPr>
          <w:trHeight w:val="1770"/>
        </w:trPr>
        <w:tc>
          <w:tcPr>
            <w:tcW w:w="3114" w:type="dxa"/>
          </w:tcPr>
          <w:p w:rsidR="00BA2F19" w:rsidRPr="00812B7F" w:rsidRDefault="00E41C95" w:rsidP="00812B7F">
            <w:pPr>
              <w:pStyle w:val="TableParagraph"/>
              <w:ind w:left="101" w:right="101"/>
              <w:rPr>
                <w:rFonts w:ascii="Segoe UI" w:hAnsi="Segoe UI" w:cs="Segoe UI"/>
              </w:rPr>
            </w:pPr>
            <w:r w:rsidRPr="00812B7F">
              <w:rPr>
                <w:rFonts w:ascii="Segoe UI" w:hAnsi="Segoe UI" w:cs="Segoe UI"/>
              </w:rPr>
              <w:t xml:space="preserve">Name and </w:t>
            </w:r>
            <w:r w:rsidR="001C7B62" w:rsidRPr="00812B7F">
              <w:rPr>
                <w:rFonts w:ascii="Segoe UI" w:hAnsi="Segoe UI" w:cs="Segoe UI"/>
              </w:rPr>
              <w:t>address</w:t>
            </w:r>
            <w:r w:rsidRPr="00812B7F">
              <w:rPr>
                <w:rFonts w:ascii="Segoe UI" w:hAnsi="Segoe UI" w:cs="Segoe UI"/>
              </w:rPr>
              <w:t xml:space="preserve"> </w:t>
            </w:r>
            <w:r w:rsidR="001C7B62" w:rsidRPr="00812B7F">
              <w:rPr>
                <w:rFonts w:ascii="Segoe UI" w:hAnsi="Segoe UI" w:cs="Segoe UI"/>
              </w:rPr>
              <w:t xml:space="preserve">of the </w:t>
            </w:r>
            <w:r w:rsidRPr="00812B7F">
              <w:rPr>
                <w:rFonts w:ascii="Segoe UI" w:hAnsi="Segoe UI" w:cs="Segoe UI"/>
              </w:rPr>
              <w:t xml:space="preserve"> h</w:t>
            </w:r>
            <w:r w:rsidR="00BA2F19" w:rsidRPr="00812B7F">
              <w:rPr>
                <w:rFonts w:ascii="Segoe UI" w:hAnsi="Segoe UI" w:cs="Segoe UI"/>
              </w:rPr>
              <w:t xml:space="preserve">ealth </w:t>
            </w:r>
            <w:r w:rsidRPr="00812B7F">
              <w:rPr>
                <w:rFonts w:ascii="Segoe UI" w:hAnsi="Segoe UI" w:cs="Segoe UI"/>
              </w:rPr>
              <w:t>c</w:t>
            </w:r>
            <w:r w:rsidR="00BA2F19" w:rsidRPr="00812B7F">
              <w:rPr>
                <w:rFonts w:ascii="Segoe UI" w:hAnsi="Segoe UI" w:cs="Segoe UI"/>
              </w:rPr>
              <w:t xml:space="preserve">are </w:t>
            </w:r>
            <w:r w:rsidRPr="00812B7F">
              <w:rPr>
                <w:rFonts w:ascii="Segoe UI" w:hAnsi="Segoe UI" w:cs="Segoe UI"/>
              </w:rPr>
              <w:t>f</w:t>
            </w:r>
            <w:r w:rsidR="00BA2F19" w:rsidRPr="00812B7F">
              <w:rPr>
                <w:rFonts w:ascii="Segoe UI" w:hAnsi="Segoe UI" w:cs="Segoe UI"/>
              </w:rPr>
              <w:t>acility</w:t>
            </w:r>
            <w:r w:rsidR="001C7B62" w:rsidRPr="00812B7F">
              <w:rPr>
                <w:rFonts w:ascii="Segoe UI" w:hAnsi="Segoe UI" w:cs="Segoe UI"/>
              </w:rPr>
              <w:t xml:space="preserve"> </w:t>
            </w:r>
            <w:r w:rsidR="00BA2F19" w:rsidRPr="00812B7F">
              <w:rPr>
                <w:rFonts w:ascii="Segoe UI" w:hAnsi="Segoe UI" w:cs="Segoe UI"/>
              </w:rPr>
              <w:t>where services were provided:</w:t>
            </w:r>
          </w:p>
          <w:p w:rsidR="00BA2F19" w:rsidRPr="00812B7F" w:rsidRDefault="00BA2F19" w:rsidP="00812B7F">
            <w:pPr>
              <w:pStyle w:val="TableParagraph"/>
              <w:ind w:left="101" w:right="101"/>
              <w:rPr>
                <w:rFonts w:ascii="Segoe UI" w:hAnsi="Segoe UI" w:cs="Segoe UI"/>
              </w:rPr>
            </w:pPr>
          </w:p>
        </w:tc>
        <w:tc>
          <w:tcPr>
            <w:tcW w:w="6723" w:type="dxa"/>
            <w:gridSpan w:val="2"/>
          </w:tcPr>
          <w:p w:rsidR="00BA2F19" w:rsidRDefault="00BA2F19" w:rsidP="00812B7F">
            <w:pPr>
              <w:pStyle w:val="TableParagraph"/>
              <w:spacing w:before="0"/>
              <w:ind w:left="0"/>
              <w:rPr>
                <w:rFonts w:ascii="Times New Roman"/>
                <w:sz w:val="18"/>
              </w:rPr>
            </w:pPr>
          </w:p>
        </w:tc>
      </w:tr>
      <w:tr w:rsidR="00E41C95" w:rsidTr="00446274">
        <w:trPr>
          <w:trHeight w:val="1770"/>
        </w:trPr>
        <w:tc>
          <w:tcPr>
            <w:tcW w:w="3114" w:type="dxa"/>
          </w:tcPr>
          <w:p w:rsidR="00E41C95" w:rsidRPr="00812B7F" w:rsidRDefault="00E41C95" w:rsidP="00812B7F">
            <w:pPr>
              <w:pStyle w:val="TableParagraph"/>
              <w:ind w:right="101"/>
              <w:rPr>
                <w:rFonts w:ascii="Segoe UI" w:hAnsi="Segoe UI" w:cs="Segoe UI"/>
              </w:rPr>
            </w:pPr>
            <w:r w:rsidRPr="00812B7F">
              <w:rPr>
                <w:rFonts w:ascii="Segoe UI" w:hAnsi="Segoe UI" w:cs="Segoe UI"/>
              </w:rPr>
              <w:t>Type of health care services at issue:</w:t>
            </w:r>
          </w:p>
        </w:tc>
        <w:tc>
          <w:tcPr>
            <w:tcW w:w="6723" w:type="dxa"/>
            <w:gridSpan w:val="2"/>
          </w:tcPr>
          <w:p w:rsidR="00E41C95" w:rsidRPr="00D7504C" w:rsidRDefault="00D7504C" w:rsidP="00812B7F">
            <w:pPr>
              <w:pStyle w:val="TableParagraph"/>
              <w:spacing w:before="0"/>
              <w:ind w:left="0"/>
              <w:rPr>
                <w:rFonts w:ascii="Times New Roman"/>
                <w:i/>
                <w:sz w:val="18"/>
              </w:rPr>
            </w:pPr>
            <w:r>
              <w:rPr>
                <w:rFonts w:ascii="Times New Roman"/>
                <w:sz w:val="18"/>
              </w:rPr>
              <w:t xml:space="preserve">    </w:t>
            </w:r>
          </w:p>
        </w:tc>
      </w:tr>
      <w:tr w:rsidR="00C360A0" w:rsidTr="005323A2">
        <w:trPr>
          <w:trHeight w:val="227"/>
        </w:trPr>
        <w:tc>
          <w:tcPr>
            <w:tcW w:w="9837" w:type="dxa"/>
            <w:gridSpan w:val="3"/>
            <w:shd w:val="clear" w:color="auto" w:fill="D9D9D9"/>
            <w:vAlign w:val="center"/>
          </w:tcPr>
          <w:p w:rsidR="00C360A0" w:rsidRPr="00812B7F" w:rsidRDefault="00837E6F" w:rsidP="00812B7F">
            <w:pPr>
              <w:spacing w:before="93"/>
              <w:ind w:left="220"/>
              <w:rPr>
                <w:rFonts w:ascii="Segoe UI" w:hAnsi="Segoe UI" w:cs="Segoe UI"/>
                <w:i/>
                <w:sz w:val="20"/>
              </w:rPr>
            </w:pPr>
            <w:r w:rsidRPr="00812B7F">
              <w:rPr>
                <w:rFonts w:ascii="Segoe UI" w:hAnsi="Segoe UI" w:cs="Segoe UI"/>
                <w:i/>
                <w:sz w:val="20"/>
              </w:rPr>
              <w:t xml:space="preserve">The arbitrator reporting statutory provisions are noted on </w:t>
            </w:r>
            <w:r w:rsidR="000106A5" w:rsidRPr="00812B7F">
              <w:rPr>
                <w:rFonts w:ascii="Segoe UI" w:hAnsi="Segoe UI" w:cs="Segoe UI"/>
                <w:i/>
                <w:sz w:val="20"/>
              </w:rPr>
              <w:t>the back of this form.</w:t>
            </w:r>
          </w:p>
        </w:tc>
      </w:tr>
    </w:tbl>
    <w:p w:rsidR="005323A2" w:rsidRDefault="005323A2" w:rsidP="00837E6F">
      <w:pPr>
        <w:pStyle w:val="Heading3"/>
        <w:shd w:val="clear" w:color="auto" w:fill="FFFFFF"/>
        <w:spacing w:before="75" w:beforeAutospacing="0" w:after="150" w:afterAutospacing="0"/>
        <w:jc w:val="center"/>
        <w:rPr>
          <w:rFonts w:ascii="Segoe UI" w:hAnsi="Segoe UI" w:cs="Segoe UI"/>
          <w:color w:val="000000"/>
        </w:rPr>
      </w:pPr>
    </w:p>
    <w:p w:rsidR="007829B2" w:rsidRPr="00812B7F" w:rsidRDefault="007829B2" w:rsidP="00837E6F">
      <w:pPr>
        <w:pStyle w:val="Heading3"/>
        <w:shd w:val="clear" w:color="auto" w:fill="FFFFFF"/>
        <w:spacing w:before="75" w:beforeAutospacing="0" w:after="150" w:afterAutospacing="0"/>
        <w:jc w:val="center"/>
        <w:rPr>
          <w:rFonts w:ascii="Segoe UI" w:hAnsi="Segoe UI" w:cs="Segoe UI"/>
          <w:color w:val="000000"/>
        </w:rPr>
      </w:pPr>
      <w:r w:rsidRPr="00812B7F">
        <w:rPr>
          <w:rFonts w:ascii="Segoe UI" w:hAnsi="Segoe UI" w:cs="Segoe UI"/>
          <w:color w:val="000000"/>
        </w:rPr>
        <w:lastRenderedPageBreak/>
        <w:t>RELEVANT STATUTORY PROVISIONS</w:t>
      </w:r>
    </w:p>
    <w:p w:rsidR="001C7B62" w:rsidRPr="00812B7F" w:rsidRDefault="001C7B62" w:rsidP="00837E6F">
      <w:pPr>
        <w:pStyle w:val="Heading3"/>
        <w:shd w:val="clear" w:color="auto" w:fill="FFFFFF"/>
        <w:spacing w:before="75" w:beforeAutospacing="0" w:after="150" w:afterAutospacing="0"/>
        <w:jc w:val="center"/>
        <w:rPr>
          <w:rFonts w:ascii="Segoe UI" w:hAnsi="Segoe UI" w:cs="Segoe UI"/>
          <w:color w:val="000000"/>
        </w:rPr>
      </w:pPr>
    </w:p>
    <w:p w:rsidR="003311E0" w:rsidRPr="00812B7F" w:rsidRDefault="003311E0" w:rsidP="003311E0">
      <w:pPr>
        <w:pStyle w:val="Heading3"/>
        <w:shd w:val="clear" w:color="auto" w:fill="FFFFFF"/>
        <w:spacing w:before="75" w:beforeAutospacing="0" w:after="150" w:afterAutospacing="0"/>
        <w:rPr>
          <w:rFonts w:ascii="Segoe UI" w:hAnsi="Segoe UI" w:cs="Segoe UI"/>
          <w:color w:val="000000"/>
        </w:rPr>
      </w:pPr>
      <w:r w:rsidRPr="00812B7F">
        <w:rPr>
          <w:rFonts w:ascii="Segoe UI" w:hAnsi="Segoe UI" w:cs="Segoe UI"/>
          <w:color w:val="000000"/>
        </w:rPr>
        <w:t>RCW </w:t>
      </w:r>
      <w:hyperlink r:id="rId10" w:history="1">
        <w:r w:rsidRPr="00812B7F">
          <w:rPr>
            <w:rStyle w:val="Hyperlink"/>
            <w:rFonts w:ascii="Segoe UI" w:hAnsi="Segoe UI" w:cs="Segoe UI"/>
            <w:color w:val="7DAB8A"/>
          </w:rPr>
          <w:t>48.49.040</w:t>
        </w:r>
      </w:hyperlink>
    </w:p>
    <w:p w:rsidR="003311E0" w:rsidRPr="00812B7F" w:rsidRDefault="003311E0" w:rsidP="003311E0">
      <w:pPr>
        <w:pStyle w:val="Heading3"/>
        <w:shd w:val="clear" w:color="auto" w:fill="FFFFFF"/>
        <w:spacing w:before="75" w:beforeAutospacing="0" w:after="150" w:afterAutospacing="0"/>
        <w:rPr>
          <w:rFonts w:ascii="Segoe UI" w:hAnsi="Segoe UI" w:cs="Segoe UI"/>
          <w:color w:val="000000"/>
        </w:rPr>
      </w:pPr>
      <w:r w:rsidRPr="00812B7F">
        <w:rPr>
          <w:rFonts w:ascii="Segoe UI" w:hAnsi="Segoe UI" w:cs="Segoe UI"/>
          <w:color w:val="000000"/>
        </w:rPr>
        <w:t>Dispute resolution process—Determination of commercially reasonable payment amount. </w:t>
      </w:r>
      <w:r w:rsidRPr="00812B7F">
        <w:rPr>
          <w:rFonts w:ascii="Segoe UI" w:hAnsi="Segoe UI" w:cs="Segoe UI"/>
          <w:i/>
          <w:iCs/>
          <w:color w:val="000000"/>
        </w:rPr>
        <w:t>(Effective January 1, 2020.)</w:t>
      </w:r>
    </w:p>
    <w:p w:rsidR="003311E0" w:rsidRPr="00812B7F" w:rsidRDefault="003311E0" w:rsidP="003311E0">
      <w:pPr>
        <w:shd w:val="clear" w:color="auto" w:fill="FFFFFF"/>
        <w:ind w:firstLine="720"/>
        <w:rPr>
          <w:rFonts w:ascii="Segoe UI" w:hAnsi="Segoe UI" w:cs="Segoe UI"/>
          <w:color w:val="000000"/>
          <w:u w:val="single"/>
        </w:rPr>
      </w:pPr>
      <w:r w:rsidRPr="00812B7F">
        <w:rPr>
          <w:rFonts w:ascii="Segoe UI" w:hAnsi="Segoe UI" w:cs="Segoe UI"/>
          <w:color w:val="000000"/>
        </w:rPr>
        <w:t xml:space="preserve">… (3)(a) Each party must make written submissions to the arbitrator in support of its position no later than thirty calendar days after the final selection of the arbitrator. The initiating party must include in its written submission the evidence and methodology for asserting that the amount proposed to be paid is or is not commercially reasonable. A party that fails to make timely written submissions under this section without good cause shown shall be considered to be in default and the arbitrator shall require the party in default to pay the final offer amount submitted by the party not in default and may require the party in default to pay expenses incurred to date in the course of arbitration, including the arbitrator's expenses and fees and the reasonable attorneys' fees of the party not in default. </w:t>
      </w:r>
      <w:r w:rsidRPr="00812B7F">
        <w:rPr>
          <w:rFonts w:ascii="Segoe UI" w:hAnsi="Segoe UI" w:cs="Segoe UI"/>
          <w:color w:val="000000"/>
          <w:u w:val="single"/>
        </w:rPr>
        <w:t xml:space="preserve">No later than thirty calendar days after the receipt of the parties' written submissions, the arbitrator must: Issue a written decision requiring payment of the final offer amount of either the initiating party or the </w:t>
      </w:r>
      <w:proofErr w:type="spellStart"/>
      <w:r w:rsidRPr="00812B7F">
        <w:rPr>
          <w:rFonts w:ascii="Segoe UI" w:hAnsi="Segoe UI" w:cs="Segoe UI"/>
          <w:color w:val="000000"/>
          <w:u w:val="single"/>
        </w:rPr>
        <w:t>noninitiating</w:t>
      </w:r>
      <w:proofErr w:type="spellEnd"/>
      <w:r w:rsidRPr="00812B7F">
        <w:rPr>
          <w:rFonts w:ascii="Segoe UI" w:hAnsi="Segoe UI" w:cs="Segoe UI"/>
          <w:color w:val="000000"/>
          <w:u w:val="single"/>
        </w:rPr>
        <w:t xml:space="preserve"> party; notify the parties of its decision; and provide the decision and the information described in RCW </w:t>
      </w:r>
      <w:hyperlink r:id="rId11" w:history="1">
        <w:r w:rsidRPr="00812B7F">
          <w:rPr>
            <w:rStyle w:val="Hyperlink"/>
            <w:rFonts w:ascii="Segoe UI" w:hAnsi="Segoe UI" w:cs="Segoe UI"/>
            <w:b/>
            <w:bCs/>
            <w:color w:val="7DAB8A"/>
          </w:rPr>
          <w:t>48.49.050</w:t>
        </w:r>
      </w:hyperlink>
      <w:r w:rsidRPr="00812B7F">
        <w:rPr>
          <w:rFonts w:ascii="Segoe UI" w:hAnsi="Segoe UI" w:cs="Segoe UI"/>
          <w:color w:val="000000"/>
          <w:u w:val="single"/>
        </w:rPr>
        <w:t> regarding the decision to the commissioner.</w:t>
      </w:r>
    </w:p>
    <w:p w:rsidR="003311E0" w:rsidRPr="00812B7F" w:rsidRDefault="003311E0" w:rsidP="003311E0">
      <w:pPr>
        <w:shd w:val="clear" w:color="auto" w:fill="FFFFFF"/>
        <w:ind w:firstLine="720"/>
        <w:rPr>
          <w:rFonts w:ascii="Segoe UI" w:hAnsi="Segoe UI" w:cs="Segoe UI"/>
          <w:color w:val="000000"/>
        </w:rPr>
      </w:pPr>
    </w:p>
    <w:p w:rsidR="003311E0" w:rsidRPr="00812B7F" w:rsidRDefault="003311E0" w:rsidP="003311E0">
      <w:pPr>
        <w:pStyle w:val="Heading3"/>
        <w:shd w:val="clear" w:color="auto" w:fill="FFFFFF"/>
        <w:spacing w:before="75" w:beforeAutospacing="0" w:after="150" w:afterAutospacing="0"/>
        <w:rPr>
          <w:rFonts w:ascii="Segoe UI" w:hAnsi="Segoe UI" w:cs="Segoe UI"/>
          <w:color w:val="000000"/>
        </w:rPr>
      </w:pPr>
      <w:r w:rsidRPr="00812B7F">
        <w:rPr>
          <w:rFonts w:ascii="Segoe UI" w:hAnsi="Segoe UI" w:cs="Segoe UI"/>
          <w:color w:val="000000"/>
        </w:rPr>
        <w:t>RCW </w:t>
      </w:r>
      <w:hyperlink r:id="rId12" w:history="1">
        <w:r w:rsidRPr="00812B7F">
          <w:rPr>
            <w:rStyle w:val="Hyperlink"/>
            <w:rFonts w:ascii="Segoe UI" w:hAnsi="Segoe UI" w:cs="Segoe UI"/>
            <w:color w:val="7DAB8A"/>
          </w:rPr>
          <w:t>48.49.050</w:t>
        </w:r>
      </w:hyperlink>
    </w:p>
    <w:p w:rsidR="003311E0" w:rsidRPr="00812B7F" w:rsidRDefault="003311E0" w:rsidP="003311E0">
      <w:pPr>
        <w:pStyle w:val="Heading3"/>
        <w:shd w:val="clear" w:color="auto" w:fill="FFFFFF"/>
        <w:spacing w:before="75" w:beforeAutospacing="0" w:after="150" w:afterAutospacing="0"/>
        <w:rPr>
          <w:rFonts w:ascii="Segoe UI" w:hAnsi="Segoe UI" w:cs="Segoe UI"/>
          <w:color w:val="000000"/>
        </w:rPr>
      </w:pPr>
      <w:r w:rsidRPr="00812B7F">
        <w:rPr>
          <w:rFonts w:ascii="Segoe UI" w:hAnsi="Segoe UI" w:cs="Segoe UI"/>
          <w:color w:val="000000"/>
        </w:rPr>
        <w:t>Commissioner's annual report on dispute resolution information regarding arbitration over commercially reasonable payment amounts. </w:t>
      </w:r>
      <w:r w:rsidRPr="00812B7F">
        <w:rPr>
          <w:rFonts w:ascii="Segoe UI" w:hAnsi="Segoe UI" w:cs="Segoe UI"/>
          <w:i/>
          <w:iCs/>
          <w:color w:val="000000"/>
        </w:rPr>
        <w:t>(Effective January 1, 2020, until January 1, 2024.)</w:t>
      </w:r>
    </w:p>
    <w:p w:rsidR="003311E0" w:rsidRPr="00812B7F" w:rsidRDefault="003311E0" w:rsidP="003311E0">
      <w:pPr>
        <w:shd w:val="clear" w:color="auto" w:fill="FFFFFF"/>
        <w:ind w:firstLine="720"/>
        <w:rPr>
          <w:rFonts w:ascii="Segoe UI" w:hAnsi="Segoe UI" w:cs="Segoe UI"/>
          <w:color w:val="000000"/>
        </w:rPr>
      </w:pPr>
      <w:r w:rsidRPr="00812B7F">
        <w:rPr>
          <w:rFonts w:ascii="Segoe UI" w:hAnsi="Segoe UI" w:cs="Segoe UI"/>
          <w:color w:val="000000"/>
        </w:rPr>
        <w:t>(1) The commissioner must prepare an annual report summarizing the dispute resolution information provided by arbitrators under RCW </w:t>
      </w:r>
      <w:hyperlink r:id="rId13" w:history="1">
        <w:r w:rsidRPr="00812B7F">
          <w:rPr>
            <w:rStyle w:val="Hyperlink"/>
            <w:rFonts w:ascii="Segoe UI" w:hAnsi="Segoe UI" w:cs="Segoe UI"/>
            <w:b/>
            <w:bCs/>
            <w:color w:val="7DAB8A"/>
          </w:rPr>
          <w:t>48.49.040</w:t>
        </w:r>
      </w:hyperlink>
      <w:r w:rsidRPr="00812B7F">
        <w:rPr>
          <w:rFonts w:ascii="Segoe UI" w:hAnsi="Segoe UI" w:cs="Segoe UI"/>
          <w:color w:val="000000"/>
        </w:rPr>
        <w:t>. The report must include summary information related to the matters decided through arbitration, as well as the following information for each dispute resolved through arbitration: The name of the carrier; the name of the health care provider; the health care provider's employer or the business entity in which the provider has an ownership interest; the health care facility where the services were provided; and the type of health care services at issue.</w:t>
      </w:r>
    </w:p>
    <w:p w:rsidR="003311E0" w:rsidRPr="00812B7F" w:rsidRDefault="003311E0" w:rsidP="003311E0">
      <w:pPr>
        <w:shd w:val="clear" w:color="auto" w:fill="FFFFFF"/>
        <w:ind w:firstLine="720"/>
        <w:rPr>
          <w:rFonts w:ascii="Segoe UI" w:hAnsi="Segoe UI" w:cs="Segoe UI"/>
          <w:color w:val="000000"/>
        </w:rPr>
      </w:pPr>
      <w:r w:rsidRPr="00812B7F">
        <w:rPr>
          <w:rFonts w:ascii="Segoe UI" w:hAnsi="Segoe UI" w:cs="Segoe UI"/>
          <w:color w:val="000000"/>
        </w:rPr>
        <w:t>(2) The commissioner must post the report on the office of the insurance commissioner's web site and submit the report in compliance with RCW </w:t>
      </w:r>
      <w:hyperlink r:id="rId14" w:history="1">
        <w:r w:rsidRPr="00812B7F">
          <w:rPr>
            <w:rStyle w:val="Hyperlink"/>
            <w:rFonts w:ascii="Segoe UI" w:hAnsi="Segoe UI" w:cs="Segoe UI"/>
            <w:b/>
            <w:bCs/>
            <w:color w:val="7DAB8A"/>
          </w:rPr>
          <w:t>43.01.036</w:t>
        </w:r>
      </w:hyperlink>
      <w:r w:rsidRPr="00812B7F">
        <w:rPr>
          <w:rFonts w:ascii="Segoe UI" w:hAnsi="Segoe UI" w:cs="Segoe UI"/>
          <w:color w:val="000000"/>
        </w:rPr>
        <w:t> to the appropriate committees of the legislature, annually by July 1st.</w:t>
      </w:r>
    </w:p>
    <w:p w:rsidR="003311E0" w:rsidRPr="00812B7F" w:rsidRDefault="003311E0" w:rsidP="003311E0">
      <w:pPr>
        <w:shd w:val="clear" w:color="auto" w:fill="FFFFFF"/>
        <w:ind w:firstLine="720"/>
        <w:rPr>
          <w:rFonts w:ascii="Segoe UI" w:hAnsi="Segoe UI" w:cs="Segoe UI"/>
          <w:color w:val="000000"/>
        </w:rPr>
      </w:pPr>
      <w:r w:rsidRPr="00812B7F">
        <w:rPr>
          <w:rFonts w:ascii="Segoe UI" w:hAnsi="Segoe UI" w:cs="Segoe UI"/>
          <w:color w:val="000000"/>
        </w:rPr>
        <w:t>(3) This section expires January 1, 2024.</w:t>
      </w:r>
    </w:p>
    <w:p w:rsidR="002F5275" w:rsidRPr="00812B7F" w:rsidRDefault="002F5275" w:rsidP="00D7504C">
      <w:pPr>
        <w:spacing w:before="93"/>
        <w:rPr>
          <w:rFonts w:ascii="Segoe UI" w:hAnsi="Segoe UI" w:cs="Segoe UI"/>
          <w:sz w:val="20"/>
        </w:rPr>
      </w:pPr>
    </w:p>
    <w:sectPr w:rsidR="002F5275" w:rsidRPr="00812B7F" w:rsidSect="00773E62">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40" w:right="132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F7C" w:rsidRDefault="00583F7C" w:rsidP="00265736">
      <w:r>
        <w:separator/>
      </w:r>
    </w:p>
  </w:endnote>
  <w:endnote w:type="continuationSeparator" w:id="0">
    <w:p w:rsidR="00583F7C" w:rsidRDefault="00583F7C" w:rsidP="0026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36" w:rsidRDefault="00265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36" w:rsidRDefault="0026573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36" w:rsidRDefault="00265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F7C" w:rsidRDefault="00583F7C" w:rsidP="00265736">
      <w:r>
        <w:separator/>
      </w:r>
    </w:p>
  </w:footnote>
  <w:footnote w:type="continuationSeparator" w:id="0">
    <w:p w:rsidR="00583F7C" w:rsidRDefault="00583F7C" w:rsidP="002657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36" w:rsidRDefault="00265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36" w:rsidRDefault="0026573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736" w:rsidRDefault="00265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B346C1"/>
    <w:multiLevelType w:val="hybridMultilevel"/>
    <w:tmpl w:val="4AC021B2"/>
    <w:lvl w:ilvl="0" w:tplc="FACC13EA">
      <w:numFmt w:val="bullet"/>
      <w:lvlText w:val="•"/>
      <w:lvlJc w:val="left"/>
      <w:pPr>
        <w:ind w:left="940" w:hanging="720"/>
      </w:pPr>
      <w:rPr>
        <w:rFonts w:ascii="Arial" w:eastAsia="Arial" w:hAnsi="Arial" w:cs="Arial" w:hint="default"/>
        <w:w w:val="99"/>
        <w:sz w:val="20"/>
        <w:szCs w:val="20"/>
        <w:lang w:val="en-US" w:eastAsia="en-US" w:bidi="en-US"/>
      </w:rPr>
    </w:lvl>
    <w:lvl w:ilvl="1" w:tplc="3C04CB1C">
      <w:numFmt w:val="bullet"/>
      <w:lvlText w:val="•"/>
      <w:lvlJc w:val="left"/>
      <w:pPr>
        <w:ind w:left="1816" w:hanging="720"/>
      </w:pPr>
      <w:rPr>
        <w:rFonts w:hint="default"/>
        <w:lang w:val="en-US" w:eastAsia="en-US" w:bidi="en-US"/>
      </w:rPr>
    </w:lvl>
    <w:lvl w:ilvl="2" w:tplc="88CEC2C4">
      <w:numFmt w:val="bullet"/>
      <w:lvlText w:val="•"/>
      <w:lvlJc w:val="left"/>
      <w:pPr>
        <w:ind w:left="2692" w:hanging="720"/>
      </w:pPr>
      <w:rPr>
        <w:rFonts w:hint="default"/>
        <w:lang w:val="en-US" w:eastAsia="en-US" w:bidi="en-US"/>
      </w:rPr>
    </w:lvl>
    <w:lvl w:ilvl="3" w:tplc="7FCE5F22">
      <w:numFmt w:val="bullet"/>
      <w:lvlText w:val="•"/>
      <w:lvlJc w:val="left"/>
      <w:pPr>
        <w:ind w:left="3568" w:hanging="720"/>
      </w:pPr>
      <w:rPr>
        <w:rFonts w:hint="default"/>
        <w:lang w:val="en-US" w:eastAsia="en-US" w:bidi="en-US"/>
      </w:rPr>
    </w:lvl>
    <w:lvl w:ilvl="4" w:tplc="16622658">
      <w:numFmt w:val="bullet"/>
      <w:lvlText w:val="•"/>
      <w:lvlJc w:val="left"/>
      <w:pPr>
        <w:ind w:left="4444" w:hanging="720"/>
      </w:pPr>
      <w:rPr>
        <w:rFonts w:hint="default"/>
        <w:lang w:val="en-US" w:eastAsia="en-US" w:bidi="en-US"/>
      </w:rPr>
    </w:lvl>
    <w:lvl w:ilvl="5" w:tplc="79A66620">
      <w:numFmt w:val="bullet"/>
      <w:lvlText w:val="•"/>
      <w:lvlJc w:val="left"/>
      <w:pPr>
        <w:ind w:left="5320" w:hanging="720"/>
      </w:pPr>
      <w:rPr>
        <w:rFonts w:hint="default"/>
        <w:lang w:val="en-US" w:eastAsia="en-US" w:bidi="en-US"/>
      </w:rPr>
    </w:lvl>
    <w:lvl w:ilvl="6" w:tplc="51882ADC">
      <w:numFmt w:val="bullet"/>
      <w:lvlText w:val="•"/>
      <w:lvlJc w:val="left"/>
      <w:pPr>
        <w:ind w:left="6196" w:hanging="720"/>
      </w:pPr>
      <w:rPr>
        <w:rFonts w:hint="default"/>
        <w:lang w:val="en-US" w:eastAsia="en-US" w:bidi="en-US"/>
      </w:rPr>
    </w:lvl>
    <w:lvl w:ilvl="7" w:tplc="91E472CE">
      <w:numFmt w:val="bullet"/>
      <w:lvlText w:val="•"/>
      <w:lvlJc w:val="left"/>
      <w:pPr>
        <w:ind w:left="7072" w:hanging="720"/>
      </w:pPr>
      <w:rPr>
        <w:rFonts w:hint="default"/>
        <w:lang w:val="en-US" w:eastAsia="en-US" w:bidi="en-US"/>
      </w:rPr>
    </w:lvl>
    <w:lvl w:ilvl="8" w:tplc="B1189356">
      <w:numFmt w:val="bullet"/>
      <w:lvlText w:val="•"/>
      <w:lvlJc w:val="left"/>
      <w:pPr>
        <w:ind w:left="7948" w:hanging="720"/>
      </w:pPr>
      <w:rPr>
        <w:rFonts w:hint="default"/>
        <w:lang w:val="en-US" w:eastAsia="en-US" w:bidi="en-US"/>
      </w:rPr>
    </w:lvl>
  </w:abstractNum>
  <w:abstractNum w:abstractNumId="1" w15:restartNumberingAfterBreak="0">
    <w:nsid w:val="716F708B"/>
    <w:multiLevelType w:val="hybridMultilevel"/>
    <w:tmpl w:val="A816E454"/>
    <w:lvl w:ilvl="0" w:tplc="0E7C25D6">
      <w:start w:val="1"/>
      <w:numFmt w:val="decimal"/>
      <w:lvlText w:val="%1."/>
      <w:lvlJc w:val="left"/>
      <w:pPr>
        <w:ind w:left="220" w:hanging="720"/>
        <w:jc w:val="left"/>
      </w:pPr>
      <w:rPr>
        <w:rFonts w:ascii="Arial" w:eastAsia="Arial" w:hAnsi="Arial" w:cs="Arial" w:hint="default"/>
        <w:spacing w:val="-1"/>
        <w:w w:val="99"/>
        <w:sz w:val="20"/>
        <w:szCs w:val="20"/>
        <w:lang w:val="en-US" w:eastAsia="en-US" w:bidi="en-US"/>
      </w:rPr>
    </w:lvl>
    <w:lvl w:ilvl="1" w:tplc="072EC47A">
      <w:numFmt w:val="bullet"/>
      <w:lvlText w:val="•"/>
      <w:lvlJc w:val="left"/>
      <w:pPr>
        <w:ind w:left="1168" w:hanging="720"/>
      </w:pPr>
      <w:rPr>
        <w:rFonts w:hint="default"/>
        <w:lang w:val="en-US" w:eastAsia="en-US" w:bidi="en-US"/>
      </w:rPr>
    </w:lvl>
    <w:lvl w:ilvl="2" w:tplc="24F414A6">
      <w:numFmt w:val="bullet"/>
      <w:lvlText w:val="•"/>
      <w:lvlJc w:val="left"/>
      <w:pPr>
        <w:ind w:left="2116" w:hanging="720"/>
      </w:pPr>
      <w:rPr>
        <w:rFonts w:hint="default"/>
        <w:lang w:val="en-US" w:eastAsia="en-US" w:bidi="en-US"/>
      </w:rPr>
    </w:lvl>
    <w:lvl w:ilvl="3" w:tplc="619AF06C">
      <w:numFmt w:val="bullet"/>
      <w:lvlText w:val="•"/>
      <w:lvlJc w:val="left"/>
      <w:pPr>
        <w:ind w:left="3064" w:hanging="720"/>
      </w:pPr>
      <w:rPr>
        <w:rFonts w:hint="default"/>
        <w:lang w:val="en-US" w:eastAsia="en-US" w:bidi="en-US"/>
      </w:rPr>
    </w:lvl>
    <w:lvl w:ilvl="4" w:tplc="F35C94FE">
      <w:numFmt w:val="bullet"/>
      <w:lvlText w:val="•"/>
      <w:lvlJc w:val="left"/>
      <w:pPr>
        <w:ind w:left="4012" w:hanging="720"/>
      </w:pPr>
      <w:rPr>
        <w:rFonts w:hint="default"/>
        <w:lang w:val="en-US" w:eastAsia="en-US" w:bidi="en-US"/>
      </w:rPr>
    </w:lvl>
    <w:lvl w:ilvl="5" w:tplc="4D0AE5B2">
      <w:numFmt w:val="bullet"/>
      <w:lvlText w:val="•"/>
      <w:lvlJc w:val="left"/>
      <w:pPr>
        <w:ind w:left="4960" w:hanging="720"/>
      </w:pPr>
      <w:rPr>
        <w:rFonts w:hint="default"/>
        <w:lang w:val="en-US" w:eastAsia="en-US" w:bidi="en-US"/>
      </w:rPr>
    </w:lvl>
    <w:lvl w:ilvl="6" w:tplc="83A4C7CA">
      <w:numFmt w:val="bullet"/>
      <w:lvlText w:val="•"/>
      <w:lvlJc w:val="left"/>
      <w:pPr>
        <w:ind w:left="5908" w:hanging="720"/>
      </w:pPr>
      <w:rPr>
        <w:rFonts w:hint="default"/>
        <w:lang w:val="en-US" w:eastAsia="en-US" w:bidi="en-US"/>
      </w:rPr>
    </w:lvl>
    <w:lvl w:ilvl="7" w:tplc="0324F07A">
      <w:numFmt w:val="bullet"/>
      <w:lvlText w:val="•"/>
      <w:lvlJc w:val="left"/>
      <w:pPr>
        <w:ind w:left="6856" w:hanging="720"/>
      </w:pPr>
      <w:rPr>
        <w:rFonts w:hint="default"/>
        <w:lang w:val="en-US" w:eastAsia="en-US" w:bidi="en-US"/>
      </w:rPr>
    </w:lvl>
    <w:lvl w:ilvl="8" w:tplc="1E540002">
      <w:numFmt w:val="bullet"/>
      <w:lvlText w:val="•"/>
      <w:lvlJc w:val="left"/>
      <w:pPr>
        <w:ind w:left="7804" w:hanging="720"/>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75"/>
    <w:rsid w:val="00010130"/>
    <w:rsid w:val="000106A5"/>
    <w:rsid w:val="0002110A"/>
    <w:rsid w:val="00086B5A"/>
    <w:rsid w:val="000B0972"/>
    <w:rsid w:val="0011709F"/>
    <w:rsid w:val="001C7B62"/>
    <w:rsid w:val="00216985"/>
    <w:rsid w:val="00265736"/>
    <w:rsid w:val="002E20BD"/>
    <w:rsid w:val="002F5275"/>
    <w:rsid w:val="00313B44"/>
    <w:rsid w:val="003311E0"/>
    <w:rsid w:val="00363CB3"/>
    <w:rsid w:val="003A2654"/>
    <w:rsid w:val="003D142E"/>
    <w:rsid w:val="00446274"/>
    <w:rsid w:val="005323A2"/>
    <w:rsid w:val="00583F7C"/>
    <w:rsid w:val="00596E35"/>
    <w:rsid w:val="00615BB5"/>
    <w:rsid w:val="006A2A77"/>
    <w:rsid w:val="006F6188"/>
    <w:rsid w:val="007426DE"/>
    <w:rsid w:val="00764AE4"/>
    <w:rsid w:val="00773E62"/>
    <w:rsid w:val="007829B2"/>
    <w:rsid w:val="00805A5C"/>
    <w:rsid w:val="00812B7F"/>
    <w:rsid w:val="00837E6F"/>
    <w:rsid w:val="008853D7"/>
    <w:rsid w:val="00953E1E"/>
    <w:rsid w:val="009B3BF8"/>
    <w:rsid w:val="00A230C0"/>
    <w:rsid w:val="00A40BF4"/>
    <w:rsid w:val="00A60570"/>
    <w:rsid w:val="00B35C97"/>
    <w:rsid w:val="00B574AC"/>
    <w:rsid w:val="00BA2F19"/>
    <w:rsid w:val="00BB525A"/>
    <w:rsid w:val="00BE5817"/>
    <w:rsid w:val="00C360A0"/>
    <w:rsid w:val="00CA1E6B"/>
    <w:rsid w:val="00CC3E58"/>
    <w:rsid w:val="00D178A7"/>
    <w:rsid w:val="00D7054C"/>
    <w:rsid w:val="00D7504C"/>
    <w:rsid w:val="00DA0030"/>
    <w:rsid w:val="00E360BD"/>
    <w:rsid w:val="00E41C95"/>
    <w:rsid w:val="00E85846"/>
    <w:rsid w:val="00EA7E53"/>
    <w:rsid w:val="00FA0970"/>
    <w:rsid w:val="00FA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C5CE66-3B48-4BB4-B9A6-19C1F445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3">
    <w:name w:val="heading 3"/>
    <w:basedOn w:val="Normal"/>
    <w:link w:val="Heading3Char"/>
    <w:uiPriority w:val="9"/>
    <w:qFormat/>
    <w:rsid w:val="003311E0"/>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spacing w:before="119"/>
      <w:ind w:left="107"/>
    </w:pPr>
  </w:style>
  <w:style w:type="table" w:styleId="TableGrid">
    <w:name w:val="Table Grid"/>
    <w:basedOn w:val="TableNormal"/>
    <w:uiPriority w:val="39"/>
    <w:rsid w:val="00C36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858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846"/>
    <w:rPr>
      <w:rFonts w:ascii="Segoe UI" w:eastAsia="Arial" w:hAnsi="Segoe UI" w:cs="Segoe UI"/>
      <w:sz w:val="18"/>
      <w:szCs w:val="18"/>
      <w:lang w:bidi="en-US"/>
    </w:rPr>
  </w:style>
  <w:style w:type="paragraph" w:styleId="Header">
    <w:name w:val="header"/>
    <w:basedOn w:val="Normal"/>
    <w:link w:val="HeaderChar"/>
    <w:uiPriority w:val="99"/>
    <w:unhideWhenUsed/>
    <w:rsid w:val="00265736"/>
    <w:pPr>
      <w:tabs>
        <w:tab w:val="center" w:pos="4680"/>
        <w:tab w:val="right" w:pos="9360"/>
      </w:tabs>
    </w:pPr>
  </w:style>
  <w:style w:type="character" w:customStyle="1" w:styleId="HeaderChar">
    <w:name w:val="Header Char"/>
    <w:basedOn w:val="DefaultParagraphFont"/>
    <w:link w:val="Header"/>
    <w:uiPriority w:val="99"/>
    <w:rsid w:val="00265736"/>
    <w:rPr>
      <w:rFonts w:ascii="Arial" w:eastAsia="Arial" w:hAnsi="Arial" w:cs="Arial"/>
      <w:lang w:bidi="en-US"/>
    </w:rPr>
  </w:style>
  <w:style w:type="paragraph" w:styleId="Footer">
    <w:name w:val="footer"/>
    <w:basedOn w:val="Normal"/>
    <w:link w:val="FooterChar"/>
    <w:uiPriority w:val="99"/>
    <w:unhideWhenUsed/>
    <w:rsid w:val="00265736"/>
    <w:pPr>
      <w:tabs>
        <w:tab w:val="center" w:pos="4680"/>
        <w:tab w:val="right" w:pos="9360"/>
      </w:tabs>
    </w:pPr>
  </w:style>
  <w:style w:type="character" w:customStyle="1" w:styleId="FooterChar">
    <w:name w:val="Footer Char"/>
    <w:basedOn w:val="DefaultParagraphFont"/>
    <w:link w:val="Footer"/>
    <w:uiPriority w:val="99"/>
    <w:rsid w:val="00265736"/>
    <w:rPr>
      <w:rFonts w:ascii="Arial" w:eastAsia="Arial" w:hAnsi="Arial" w:cs="Arial"/>
      <w:lang w:bidi="en-US"/>
    </w:rPr>
  </w:style>
  <w:style w:type="character" w:styleId="Hyperlink">
    <w:name w:val="Hyperlink"/>
    <w:basedOn w:val="DefaultParagraphFont"/>
    <w:uiPriority w:val="99"/>
    <w:unhideWhenUsed/>
    <w:rsid w:val="00E41C95"/>
    <w:rPr>
      <w:color w:val="0000FF" w:themeColor="hyperlink"/>
      <w:u w:val="single"/>
    </w:rPr>
  </w:style>
  <w:style w:type="character" w:customStyle="1" w:styleId="Heading3Char">
    <w:name w:val="Heading 3 Char"/>
    <w:basedOn w:val="DefaultParagraphFont"/>
    <w:link w:val="Heading3"/>
    <w:uiPriority w:val="9"/>
    <w:rsid w:val="003311E0"/>
    <w:rPr>
      <w:rFonts w:ascii="Times New Roman" w:eastAsia="Times New Roman" w:hAnsi="Times New Roman" w:cs="Times New Roman"/>
      <w:b/>
      <w:bCs/>
      <w:sz w:val="27"/>
      <w:szCs w:val="27"/>
    </w:rPr>
  </w:style>
  <w:style w:type="character" w:styleId="CommentReference">
    <w:name w:val="annotation reference"/>
    <w:basedOn w:val="DefaultParagraphFont"/>
    <w:uiPriority w:val="99"/>
    <w:semiHidden/>
    <w:unhideWhenUsed/>
    <w:rsid w:val="003311E0"/>
    <w:rPr>
      <w:sz w:val="16"/>
      <w:szCs w:val="16"/>
    </w:rPr>
  </w:style>
  <w:style w:type="paragraph" w:styleId="CommentText">
    <w:name w:val="annotation text"/>
    <w:basedOn w:val="Normal"/>
    <w:link w:val="CommentTextChar"/>
    <w:uiPriority w:val="99"/>
    <w:semiHidden/>
    <w:unhideWhenUsed/>
    <w:rsid w:val="003311E0"/>
    <w:rPr>
      <w:sz w:val="20"/>
      <w:szCs w:val="20"/>
    </w:rPr>
  </w:style>
  <w:style w:type="character" w:customStyle="1" w:styleId="CommentTextChar">
    <w:name w:val="Comment Text Char"/>
    <w:basedOn w:val="DefaultParagraphFont"/>
    <w:link w:val="CommentText"/>
    <w:uiPriority w:val="99"/>
    <w:semiHidden/>
    <w:rsid w:val="003311E0"/>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311E0"/>
    <w:rPr>
      <w:b/>
      <w:bCs/>
    </w:rPr>
  </w:style>
  <w:style w:type="character" w:customStyle="1" w:styleId="CommentSubjectChar">
    <w:name w:val="Comment Subject Char"/>
    <w:basedOn w:val="CommentTextChar"/>
    <w:link w:val="CommentSubject"/>
    <w:uiPriority w:val="99"/>
    <w:semiHidden/>
    <w:rsid w:val="003311E0"/>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8326">
      <w:bodyDiv w:val="1"/>
      <w:marLeft w:val="0"/>
      <w:marRight w:val="0"/>
      <w:marTop w:val="0"/>
      <w:marBottom w:val="0"/>
      <w:divBdr>
        <w:top w:val="none" w:sz="0" w:space="0" w:color="auto"/>
        <w:left w:val="none" w:sz="0" w:space="0" w:color="auto"/>
        <w:bottom w:val="none" w:sz="0" w:space="0" w:color="auto"/>
        <w:right w:val="none" w:sz="0" w:space="0" w:color="auto"/>
      </w:divBdr>
      <w:divsChild>
        <w:div w:id="542014693">
          <w:marLeft w:val="0"/>
          <w:marRight w:val="0"/>
          <w:marTop w:val="0"/>
          <w:marBottom w:val="0"/>
          <w:divBdr>
            <w:top w:val="none" w:sz="0" w:space="0" w:color="auto"/>
            <w:left w:val="none" w:sz="0" w:space="0" w:color="auto"/>
            <w:bottom w:val="none" w:sz="0" w:space="0" w:color="auto"/>
            <w:right w:val="none" w:sz="0" w:space="0" w:color="auto"/>
          </w:divBdr>
        </w:div>
        <w:div w:id="323434616">
          <w:marLeft w:val="0"/>
          <w:marRight w:val="0"/>
          <w:marTop w:val="0"/>
          <w:marBottom w:val="0"/>
          <w:divBdr>
            <w:top w:val="none" w:sz="0" w:space="0" w:color="auto"/>
            <w:left w:val="none" w:sz="0" w:space="0" w:color="auto"/>
            <w:bottom w:val="none" w:sz="0" w:space="0" w:color="auto"/>
            <w:right w:val="none" w:sz="0" w:space="0" w:color="auto"/>
          </w:divBdr>
        </w:div>
        <w:div w:id="1919048152">
          <w:marLeft w:val="0"/>
          <w:marRight w:val="0"/>
          <w:marTop w:val="0"/>
          <w:marBottom w:val="0"/>
          <w:divBdr>
            <w:top w:val="none" w:sz="0" w:space="0" w:color="auto"/>
            <w:left w:val="none" w:sz="0" w:space="0" w:color="auto"/>
            <w:bottom w:val="none" w:sz="0" w:space="0" w:color="auto"/>
            <w:right w:val="none" w:sz="0" w:space="0" w:color="auto"/>
          </w:divBdr>
          <w:divsChild>
            <w:div w:id="1719158915">
              <w:marLeft w:val="0"/>
              <w:marRight w:val="0"/>
              <w:marTop w:val="0"/>
              <w:marBottom w:val="0"/>
              <w:divBdr>
                <w:top w:val="none" w:sz="0" w:space="0" w:color="auto"/>
                <w:left w:val="none" w:sz="0" w:space="0" w:color="auto"/>
                <w:bottom w:val="none" w:sz="0" w:space="0" w:color="auto"/>
                <w:right w:val="none" w:sz="0" w:space="0" w:color="auto"/>
              </w:divBdr>
            </w:div>
            <w:div w:id="1451824857">
              <w:marLeft w:val="0"/>
              <w:marRight w:val="0"/>
              <w:marTop w:val="0"/>
              <w:marBottom w:val="0"/>
              <w:divBdr>
                <w:top w:val="none" w:sz="0" w:space="0" w:color="auto"/>
                <w:left w:val="none" w:sz="0" w:space="0" w:color="auto"/>
                <w:bottom w:val="none" w:sz="0" w:space="0" w:color="auto"/>
                <w:right w:val="none" w:sz="0" w:space="0" w:color="auto"/>
              </w:divBdr>
            </w:div>
            <w:div w:id="26077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78917">
      <w:bodyDiv w:val="1"/>
      <w:marLeft w:val="0"/>
      <w:marRight w:val="0"/>
      <w:marTop w:val="0"/>
      <w:marBottom w:val="0"/>
      <w:divBdr>
        <w:top w:val="none" w:sz="0" w:space="0" w:color="auto"/>
        <w:left w:val="none" w:sz="0" w:space="0" w:color="auto"/>
        <w:bottom w:val="none" w:sz="0" w:space="0" w:color="auto"/>
        <w:right w:val="none" w:sz="0" w:space="0" w:color="auto"/>
      </w:divBdr>
      <w:divsChild>
        <w:div w:id="294722738">
          <w:marLeft w:val="0"/>
          <w:marRight w:val="0"/>
          <w:marTop w:val="0"/>
          <w:marBottom w:val="0"/>
          <w:divBdr>
            <w:top w:val="none" w:sz="0" w:space="0" w:color="auto"/>
            <w:left w:val="none" w:sz="0" w:space="0" w:color="auto"/>
            <w:bottom w:val="none" w:sz="0" w:space="0" w:color="auto"/>
            <w:right w:val="none" w:sz="0" w:space="0" w:color="auto"/>
          </w:divBdr>
        </w:div>
        <w:div w:id="1941647412">
          <w:marLeft w:val="0"/>
          <w:marRight w:val="0"/>
          <w:marTop w:val="0"/>
          <w:marBottom w:val="0"/>
          <w:divBdr>
            <w:top w:val="none" w:sz="0" w:space="0" w:color="auto"/>
            <w:left w:val="none" w:sz="0" w:space="0" w:color="auto"/>
            <w:bottom w:val="none" w:sz="0" w:space="0" w:color="auto"/>
            <w:right w:val="none" w:sz="0" w:space="0" w:color="auto"/>
          </w:divBdr>
        </w:div>
        <w:div w:id="1764719774">
          <w:marLeft w:val="0"/>
          <w:marRight w:val="0"/>
          <w:marTop w:val="0"/>
          <w:marBottom w:val="0"/>
          <w:divBdr>
            <w:top w:val="none" w:sz="0" w:space="0" w:color="auto"/>
            <w:left w:val="none" w:sz="0" w:space="0" w:color="auto"/>
            <w:bottom w:val="none" w:sz="0" w:space="0" w:color="auto"/>
            <w:right w:val="none" w:sz="0" w:space="0" w:color="auto"/>
          </w:divBdr>
          <w:divsChild>
            <w:div w:id="1456099512">
              <w:marLeft w:val="0"/>
              <w:marRight w:val="0"/>
              <w:marTop w:val="0"/>
              <w:marBottom w:val="0"/>
              <w:divBdr>
                <w:top w:val="none" w:sz="0" w:space="0" w:color="auto"/>
                <w:left w:val="none" w:sz="0" w:space="0" w:color="auto"/>
                <w:bottom w:val="none" w:sz="0" w:space="0" w:color="auto"/>
                <w:right w:val="none" w:sz="0" w:space="0" w:color="auto"/>
              </w:divBdr>
            </w:div>
            <w:div w:id="1076703805">
              <w:marLeft w:val="0"/>
              <w:marRight w:val="0"/>
              <w:marTop w:val="0"/>
              <w:marBottom w:val="0"/>
              <w:divBdr>
                <w:top w:val="none" w:sz="0" w:space="0" w:color="auto"/>
                <w:left w:val="none" w:sz="0" w:space="0" w:color="auto"/>
                <w:bottom w:val="none" w:sz="0" w:space="0" w:color="auto"/>
                <w:right w:val="none" w:sz="0" w:space="0" w:color="auto"/>
              </w:divBdr>
            </w:div>
            <w:div w:id="1452362805">
              <w:marLeft w:val="0"/>
              <w:marRight w:val="0"/>
              <w:marTop w:val="0"/>
              <w:marBottom w:val="0"/>
              <w:divBdr>
                <w:top w:val="none" w:sz="0" w:space="0" w:color="auto"/>
                <w:left w:val="none" w:sz="0" w:space="0" w:color="auto"/>
                <w:bottom w:val="none" w:sz="0" w:space="0" w:color="auto"/>
                <w:right w:val="none" w:sz="0" w:space="0" w:color="auto"/>
              </w:divBdr>
            </w:div>
            <w:div w:id="674500002">
              <w:marLeft w:val="0"/>
              <w:marRight w:val="0"/>
              <w:marTop w:val="0"/>
              <w:marBottom w:val="0"/>
              <w:divBdr>
                <w:top w:val="none" w:sz="0" w:space="0" w:color="auto"/>
                <w:left w:val="none" w:sz="0" w:space="0" w:color="auto"/>
                <w:bottom w:val="none" w:sz="0" w:space="0" w:color="auto"/>
                <w:right w:val="none" w:sz="0" w:space="0" w:color="auto"/>
              </w:divBdr>
            </w:div>
            <w:div w:id="170069669">
              <w:marLeft w:val="0"/>
              <w:marRight w:val="0"/>
              <w:marTop w:val="0"/>
              <w:marBottom w:val="0"/>
              <w:divBdr>
                <w:top w:val="none" w:sz="0" w:space="0" w:color="auto"/>
                <w:left w:val="none" w:sz="0" w:space="0" w:color="auto"/>
                <w:bottom w:val="none" w:sz="0" w:space="0" w:color="auto"/>
                <w:right w:val="none" w:sz="0" w:space="0" w:color="auto"/>
              </w:divBdr>
            </w:div>
            <w:div w:id="1785542361">
              <w:marLeft w:val="0"/>
              <w:marRight w:val="0"/>
              <w:marTop w:val="0"/>
              <w:marBottom w:val="0"/>
              <w:divBdr>
                <w:top w:val="none" w:sz="0" w:space="0" w:color="auto"/>
                <w:left w:val="none" w:sz="0" w:space="0" w:color="auto"/>
                <w:bottom w:val="none" w:sz="0" w:space="0" w:color="auto"/>
                <w:right w:val="none" w:sz="0" w:space="0" w:color="auto"/>
              </w:divBdr>
            </w:div>
            <w:div w:id="9183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pp.leg.wa.gov/RCW/default.aspx?cite=48.49.040"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pp.leg.wa.gov/RCW/default.aspx?cite=48.49.050"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pp.leg.wa.gov/RCW/default.aspx?cite=48.49.05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pp.leg.wa.gov/RCW/default.aspx?cite=48.49.04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BBPA_Arbitration@oic.wa.gov" TargetMode="External"/><Relationship Id="rId14" Type="http://schemas.openxmlformats.org/officeDocument/2006/relationships/hyperlink" Target="http://app.leg.wa.gov/RCW/default.aspx?cite=43.01.03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IC THEME">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B6693-6E3E-451D-9BD8-4377DA48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Notice for abitrators to report decisions</vt:lpstr>
    </vt:vector>
  </TitlesOfParts>
  <Company>Office of the Insurance Commissioner</Company>
  <LinksUpToDate>false</LinksUpToDate>
  <CharactersWithSpaces>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for abitrators to report decisions</dc:title>
  <dc:subject>Form for arbitrators to report surprise billing decisions</dc:subject>
  <dc:creator>Julia Eisentrout, Office of the Insurance Commissioner</dc:creator>
  <cp:lastModifiedBy>Marquis, Stephanie (OIC)</cp:lastModifiedBy>
  <cp:revision>2</cp:revision>
  <cp:lastPrinted>2020-01-08T23:05:00Z</cp:lastPrinted>
  <dcterms:created xsi:type="dcterms:W3CDTF">2020-03-18T17:01:00Z</dcterms:created>
  <dcterms:modified xsi:type="dcterms:W3CDTF">2020-03-18T17:01:00Z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2019-12-17T00:00:00Z</vt:filetime>
  </property>
  <property fmtid="{D5CDD505-2E9C-101B-9397-08002B2CF9AE}" pid="3" name="Creator">
    <vt:lpwstr>Microsoft® Word 2016</vt:lpwstr>
  </property>
  <property fmtid="{D5CDD505-2E9C-101B-9397-08002B2CF9AE}" pid="4" name="LastSaved">
    <vt:filetime>2020-01-03T00:00:00Z</vt:filetime>
  </property>
</Properties>
</file>